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709" w:x="2190" w:y="1494"/>
        <w:widowControl w:val="0"/>
        <w:autoSpaceDE w:val="0"/>
        <w:autoSpaceDN w:val="0"/>
        <w:spacing w:line="480" w:lineRule="exact"/>
        <w:rPr>
          <w:rFonts w:hAnsi="Calibri"/>
          <w:color w:val="000000"/>
          <w:sz w:val="48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58"/>
          <w:sz w:val="48"/>
          <w:szCs w:val="22"/>
          <w:lang w:val="en-US" w:eastAsia="en-US" w:bidi="ar-SA"/>
        </w:rPr>
        <w:t>兰州现代职业学院财经商贸分院</w:t>
      </w:r>
    </w:p>
    <w:p>
      <w:pPr>
        <w:framePr w:w="7709" w:x="2190" w:y="1494"/>
        <w:widowControl w:val="0"/>
        <w:autoSpaceDE w:val="0"/>
        <w:autoSpaceDN w:val="0"/>
        <w:spacing w:before="451" w:line="480" w:lineRule="exact"/>
        <w:ind w:left="1344"/>
        <w:rPr>
          <w:rFonts w:hAnsi="Calibri"/>
          <w:color w:val="000000"/>
          <w:sz w:val="48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58"/>
          <w:sz w:val="48"/>
          <w:szCs w:val="22"/>
          <w:lang w:val="en-US" w:eastAsia="en-US" w:bidi="ar-SA"/>
        </w:rPr>
        <w:t>（兰州市商业学校）</w:t>
      </w:r>
    </w:p>
    <w:p>
      <w:pPr>
        <w:framePr w:w="2456" w:x="4816" w:y="3130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简</w:t>
      </w:r>
      <w:r>
        <w:rPr>
          <w:rFonts w:hAnsi="Calibri"/>
          <w:color w:val="FF0000"/>
          <w:spacing w:val="326"/>
          <w:sz w:val="8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报</w:t>
      </w:r>
    </w:p>
    <w:p>
      <w:pPr>
        <w:framePr w:w="2095" w:x="5196" w:y="4388"/>
        <w:widowControl w:val="0"/>
        <w:autoSpaceDE w:val="0"/>
        <w:autoSpaceDN w:val="0"/>
        <w:spacing w:line="439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Calibri" w:hAnsi="Calibri"/>
          <w:color w:val="FF0000"/>
          <w:spacing w:val="-23"/>
          <w:sz w:val="36"/>
          <w:szCs w:val="22"/>
          <w:lang w:val="en-US" w:eastAsia="en-US" w:bidi="ar-SA"/>
        </w:rPr>
        <w:t>2026</w:t>
      </w:r>
      <w:r>
        <w:rPr>
          <w:rFonts w:ascii="Calibri" w:hAnsi="Calibri"/>
          <w:color w:val="FF0000"/>
          <w:spacing w:val="65"/>
          <w:sz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pacing w:val="-5"/>
          <w:sz w:val="36"/>
          <w:szCs w:val="22"/>
          <w:lang w:val="en-US" w:eastAsia="en-US" w:bidi="ar-SA"/>
        </w:rPr>
        <w:t>年</w:t>
      </w:r>
      <w:r>
        <w:rPr>
          <w:rFonts w:ascii="SimSun" w:hAnsi="Calibri"/>
          <w:color w:val="FF0000"/>
          <w:spacing w:val="-35"/>
          <w:sz w:val="36"/>
          <w:szCs w:val="22"/>
          <w:lang w:val="en-US" w:eastAsia="en-US" w:bidi="ar-SA"/>
        </w:rPr>
        <w:t>23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期</w:t>
      </w:r>
    </w:p>
    <w:p>
      <w:pPr>
        <w:framePr w:w="7977" w:x="1976" w:y="5471"/>
        <w:widowControl w:val="0"/>
        <w:autoSpaceDE w:val="0"/>
        <w:autoSpaceDN w:val="0"/>
        <w:spacing w:line="270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财贸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“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三抓三促</w:t>
      </w:r>
      <w:r>
        <w:rPr>
          <w:rFonts w:ascii="FangSong" w:hAnsi="FangSong" w:cs="FangSong"/>
          <w:color w:val="000000"/>
          <w:spacing w:val="15"/>
          <w:sz w:val="27"/>
          <w:szCs w:val="22"/>
          <w:lang w:val="en-US" w:eastAsia="en-US" w:bidi="ar-SA"/>
        </w:rPr>
        <w:t>”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行动工作领导小组</w:t>
      </w:r>
    </w:p>
    <w:p>
      <w:pPr>
        <w:framePr w:w="7977" w:x="1976" w:y="5471"/>
        <w:widowControl w:val="0"/>
        <w:autoSpaceDE w:val="0"/>
        <w:autoSpaceDN w:val="0"/>
        <w:spacing w:before="42" w:line="270" w:lineRule="exact"/>
        <w:ind w:left="5901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Calibri"/>
          <w:color w:val="000000"/>
          <w:spacing w:val="-6"/>
          <w:sz w:val="27"/>
          <w:szCs w:val="22"/>
          <w:lang w:val="en-US" w:eastAsia="en-US" w:bidi="ar-SA"/>
        </w:rPr>
        <w:t>2026</w:t>
      </w:r>
      <w:r>
        <w:rPr>
          <w:rFonts w:ascii="FangSong" w:hAnsi="FangSong" w:cs="FangSong"/>
          <w:color w:val="000000"/>
          <w:spacing w:val="18"/>
          <w:sz w:val="27"/>
          <w:szCs w:val="22"/>
          <w:lang w:val="en-US" w:eastAsia="en-US" w:bidi="ar-SA"/>
        </w:rPr>
        <w:t>年</w:t>
      </w:r>
      <w:r>
        <w:rPr>
          <w:rFonts w:ascii="FangSong" w:hAnsi="Calibri"/>
          <w:color w:val="000000"/>
          <w:spacing w:val="62"/>
          <w:sz w:val="27"/>
          <w:szCs w:val="22"/>
          <w:lang w:val="en-US" w:eastAsia="en-US" w:bidi="ar-SA"/>
        </w:rPr>
        <w:t>3</w:t>
      </w:r>
      <w:r>
        <w:rPr>
          <w:rFonts w:ascii="FangSong" w:hAnsi="FangSong" w:cs="FangSong"/>
          <w:color w:val="000000"/>
          <w:spacing w:val="-17"/>
          <w:sz w:val="27"/>
          <w:szCs w:val="22"/>
          <w:lang w:val="en-US" w:eastAsia="en-US" w:bidi="ar-SA"/>
        </w:rPr>
        <w:t>月</w:t>
      </w:r>
      <w:r>
        <w:rPr>
          <w:rFonts w:ascii="FangSong" w:hAnsi="Calibri"/>
          <w:color w:val="000000"/>
          <w:spacing w:val="-8"/>
          <w:sz w:val="27"/>
          <w:szCs w:val="22"/>
          <w:lang w:val="en-US" w:eastAsia="en-US" w:bidi="ar-SA"/>
        </w:rPr>
        <w:t>18</w:t>
      </w:r>
      <w:r>
        <w:rPr>
          <w:rFonts w:ascii="FangSong" w:hAnsi="FangSong" w:cs="FangSong"/>
          <w:color w:val="000000"/>
          <w:sz w:val="27"/>
          <w:szCs w:val="22"/>
          <w:lang w:val="en-US" w:eastAsia="en-US" w:bidi="ar-SA"/>
        </w:rPr>
        <w:t>日</w:t>
      </w:r>
    </w:p>
    <w:p>
      <w:pPr>
        <w:framePr w:w="7977" w:x="1976" w:y="5471"/>
        <w:widowControl w:val="0"/>
        <w:autoSpaceDE w:val="0"/>
        <w:autoSpaceDN w:val="0"/>
        <w:spacing w:before="58" w:line="270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财贸创建省级精神文明校园领导小组</w:t>
      </w:r>
    </w:p>
    <w:p>
      <w:pPr>
        <w:framePr w:w="5740" w:x="3204" w:y="7715"/>
        <w:widowControl w:val="0"/>
        <w:autoSpaceDE w:val="0"/>
        <w:autoSpaceDN w:val="0"/>
        <w:spacing w:line="525" w:lineRule="exact"/>
        <w:rPr>
          <w:rFonts w:ascii="CPWGSB+FZXBSJW--GB1-0" w:hAnsi="Calibri"/>
          <w:color w:val="000000"/>
          <w:sz w:val="44"/>
          <w:szCs w:val="22"/>
          <w:lang w:val="en-US" w:eastAsia="en-US" w:bidi="ar-SA"/>
        </w:rPr>
      </w:pPr>
      <w:r>
        <w:rPr>
          <w:rFonts w:ascii="CPWGSB+FZXBSJW--GB1-0" w:hAnsi="CPWGSB+FZXBSJW--GB1-0" w:cs="CPWGSB+FZXBSJW--GB1-0"/>
          <w:color w:val="000000"/>
          <w:sz w:val="44"/>
          <w:szCs w:val="22"/>
          <w:lang w:val="en-US" w:eastAsia="en-US" w:bidi="ar-SA"/>
        </w:rPr>
        <w:t>筑牢安全防线</w:t>
      </w:r>
      <w:r>
        <w:rPr>
          <w:rFonts w:ascii="CPWGSB+FZXBSJW--GB1-0" w:hAnsi="Calibri"/>
          <w:color w:val="000000"/>
          <w:spacing w:val="109"/>
          <w:sz w:val="44"/>
          <w:szCs w:val="22"/>
          <w:lang w:val="en-US" w:eastAsia="en-US" w:bidi="ar-SA"/>
        </w:rPr>
        <w:t xml:space="preserve"> </w:t>
      </w:r>
      <w:r>
        <w:rPr>
          <w:rFonts w:ascii="CPWGSB+FZXBSJW--GB1-0" w:hAnsi="CPWGSB+FZXBSJW--GB1-0" w:cs="CPWGSB+FZXBSJW--GB1-0"/>
          <w:color w:val="000000"/>
          <w:sz w:val="44"/>
          <w:szCs w:val="22"/>
          <w:lang w:val="en-US" w:eastAsia="en-US" w:bidi="ar-SA"/>
        </w:rPr>
        <w:t>守护青春成长</w:t>
      </w:r>
    </w:p>
    <w:p>
      <w:pPr>
        <w:framePr w:w="4717" w:x="3714" w:y="8618"/>
        <w:widowControl w:val="0"/>
        <w:autoSpaceDE w:val="0"/>
        <w:autoSpaceDN w:val="0"/>
        <w:spacing w:line="280" w:lineRule="exact"/>
        <w:rPr>
          <w:rFonts w:ascii="REKLTE+FangSong_GB2312" w:hAnsi="Calibri"/>
          <w:color w:val="000000"/>
          <w:sz w:val="28"/>
          <w:szCs w:val="22"/>
          <w:lang w:val="en-US" w:eastAsia="en-US" w:bidi="ar-SA"/>
        </w:rPr>
      </w:pPr>
      <w:r>
        <w:rPr>
          <w:rFonts w:ascii="REKLTE+FangSong_GB2312" w:hAnsi="REKLTE+FangSong_GB2312" w:cs="REKLTE+FangSong_GB2312"/>
          <w:color w:val="000000"/>
          <w:sz w:val="28"/>
          <w:szCs w:val="22"/>
          <w:lang w:val="en-US" w:eastAsia="en-US" w:bidi="ar-SA"/>
        </w:rPr>
        <w:t>——我院（校）开展校园安全公开课</w:t>
      </w:r>
    </w:p>
    <w:p>
      <w:pPr>
        <w:framePr w:w="8250" w:x="1800" w:y="9221"/>
        <w:widowControl w:val="0"/>
        <w:autoSpaceDE w:val="0"/>
        <w:autoSpaceDN w:val="0"/>
        <w:spacing w:line="320" w:lineRule="exact"/>
        <w:ind w:left="640"/>
        <w:rPr>
          <w:rFonts w:ascii="REKLTE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REKLTE+FangSong_GB2312" w:hAnsi="REKLTE+FangSong_GB2312" w:cs="REKLTE+FangSong_GB2312"/>
          <w:color w:val="000000"/>
          <w:sz w:val="32"/>
          <w:szCs w:val="22"/>
          <w:lang w:val="en-US" w:eastAsia="en-US" w:bidi="ar-SA"/>
        </w:rPr>
        <w:t>为深入贯彻学院安全管理要求，切实增强学生安全防</w:t>
      </w:r>
    </w:p>
    <w:p>
      <w:pPr>
        <w:framePr w:w="8250" w:x="1800" w:y="9221"/>
        <w:widowControl w:val="0"/>
        <w:autoSpaceDE w:val="0"/>
        <w:autoSpaceDN w:val="0"/>
        <w:spacing w:before="304" w:line="320" w:lineRule="exact"/>
        <w:rPr>
          <w:rFonts w:ascii="REKLTE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REKLTE+FangSong_GB2312" w:hAnsi="REKLTE+FangSong_GB2312" w:cs="REKLTE+FangSong_GB2312"/>
          <w:color w:val="000000"/>
          <w:sz w:val="32"/>
          <w:szCs w:val="22"/>
          <w:lang w:val="en-US" w:eastAsia="en-US" w:bidi="ar-SA"/>
        </w:rPr>
        <w:t>范意识与应急处置能力，营造安全、清朗、和谐的校园环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67.75pt;height:3pt;margin-top:335.35pt;margin-left:79.25pt;mso-position-horizontal-relative:page;mso-position-vertical-relative:page;position:absolute;z-index:-251656192">
            <v:imagedata r:id="rId4" o:title=""/>
          </v:shape>
        </w:pict>
      </w:r>
      <w:r>
        <w:rPr>
          <w:noProof/>
        </w:rPr>
        <w:pict>
          <v:shape id="_x0000_s1026" type="#_x0000_t75" style="width:380.55pt;height:251.95pt;margin-top:517.25pt;margin-left:107.4pt;mso-position-horizontal-relative:page;mso-position-vertical-relative:page;position:absolute;z-index:-25165824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402" w:x="1800" w:y="1573"/>
        <w:widowControl w:val="0"/>
        <w:autoSpaceDE w:val="0"/>
        <w:autoSpaceDN w:val="0"/>
        <w:spacing w:line="320" w:lineRule="exact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境，财经商贸学院于</w:t>
      </w:r>
      <w:r>
        <w:rPr>
          <w:rFonts w:ascii="WKPMUN+FangSong_GB2312" w:eastAsiaTheme="minorEastAsia" w:hAnsiTheme="minorHAnsi" w:cstheme="minorBidi"/>
          <w:color w:val="000000"/>
          <w:spacing w:val="-81"/>
          <w:sz w:val="32"/>
          <w:szCs w:val="22"/>
          <w:lang w:val="en-US" w:eastAsia="en-US" w:bidi="ar-SA"/>
        </w:rPr>
        <w:t xml:space="preserve"> </w:t>
      </w:r>
      <w:r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>3</w:t>
      </w:r>
      <w:r>
        <w:rPr>
          <w:rFonts w:ascii="WKPMUN+FangSong_GB2312" w:eastAsiaTheme="minorEastAsia" w:hAnsiTheme="minorHAnsi" w:cstheme="minorBidi"/>
          <w:color w:val="000000"/>
          <w:spacing w:val="-80"/>
          <w:sz w:val="32"/>
          <w:szCs w:val="22"/>
          <w:lang w:val="en-US" w:eastAsia="en-US" w:bidi="ar-SA"/>
        </w:rPr>
        <w:t xml:space="preserve"> </w:t>
      </w: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月</w:t>
      </w:r>
      <w:r>
        <w:rPr>
          <w:rFonts w:ascii="WKPMUN+FangSong_GB2312" w:eastAsiaTheme="minorEastAsia" w:hAnsiTheme="minorHAnsi" w:cstheme="minorBidi"/>
          <w:color w:val="000000"/>
          <w:spacing w:val="-79"/>
          <w:sz w:val="32"/>
          <w:szCs w:val="22"/>
          <w:lang w:val="en-US" w:eastAsia="en-US" w:bidi="ar-SA"/>
        </w:rPr>
        <w:t xml:space="preserve"> </w:t>
      </w:r>
      <w:r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>17</w:t>
      </w:r>
      <w:r>
        <w:rPr>
          <w:rFonts w:ascii="WKPMUN+FangSong_GB2312" w:eastAsiaTheme="minorEastAsia" w:hAnsiTheme="minorHAnsi" w:cstheme="minorBidi"/>
          <w:color w:val="000000"/>
          <w:spacing w:val="-80"/>
          <w:sz w:val="32"/>
          <w:szCs w:val="22"/>
          <w:lang w:val="en-US" w:eastAsia="en-US" w:bidi="ar-SA"/>
        </w:rPr>
        <w:t xml:space="preserve"> </w:t>
      </w: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日精心组织开展了“筑牢安全</w:t>
      </w:r>
    </w:p>
    <w:p>
      <w:pPr>
        <w:framePr w:w="8402" w:x="1800" w:y="1573"/>
        <w:widowControl w:val="0"/>
        <w:autoSpaceDE w:val="0"/>
        <w:autoSpaceDN w:val="0"/>
        <w:spacing w:before="304" w:line="320" w:lineRule="exact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防线</w:t>
      </w:r>
      <w:r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共享清朗空间”主题校园安全公开课。本次公开课立</w:t>
      </w:r>
    </w:p>
    <w:p>
      <w:pPr>
        <w:framePr w:w="8402" w:x="1800" w:y="1573"/>
        <w:widowControl w:val="0"/>
        <w:autoSpaceDE w:val="0"/>
        <w:autoSpaceDN w:val="0"/>
        <w:spacing w:before="304" w:line="320" w:lineRule="exact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足校园安全实际，通过案例警示、知识讲授、互动研讨等</w:t>
      </w:r>
    </w:p>
    <w:p>
      <w:pPr>
        <w:framePr w:w="8402" w:x="1800" w:y="1573"/>
        <w:widowControl w:val="0"/>
        <w:autoSpaceDE w:val="0"/>
        <w:autoSpaceDN w:val="0"/>
        <w:spacing w:before="304" w:line="320" w:lineRule="exact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多元化形式，为全体学生呈现了一堂内容丰富、实用高效</w:t>
      </w:r>
    </w:p>
    <w:p>
      <w:pPr>
        <w:framePr w:w="8402" w:x="1800" w:y="1573"/>
        <w:widowControl w:val="0"/>
        <w:autoSpaceDE w:val="0"/>
        <w:autoSpaceDN w:val="0"/>
        <w:spacing w:before="304" w:line="320" w:lineRule="exact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的安全教育必修课。</w:t>
      </w:r>
    </w:p>
    <w:p>
      <w:pPr>
        <w:framePr w:w="8250" w:x="1800" w:y="4694"/>
        <w:widowControl w:val="0"/>
        <w:autoSpaceDE w:val="0"/>
        <w:autoSpaceDN w:val="0"/>
        <w:spacing w:line="320" w:lineRule="exact"/>
        <w:ind w:left="640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课程伊始，授课教师以全国典型校园安全事件为切入</w:t>
      </w:r>
    </w:p>
    <w:p>
      <w:pPr>
        <w:framePr w:w="8250" w:x="1800" w:y="4694"/>
        <w:widowControl w:val="0"/>
        <w:autoSpaceDE w:val="0"/>
        <w:autoSpaceDN w:val="0"/>
        <w:spacing w:before="304" w:line="320" w:lineRule="exact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点，播放了消防安全、网络诈骗、宿舍用电隐患等警示教</w:t>
      </w:r>
    </w:p>
    <w:p>
      <w:pPr>
        <w:framePr w:w="8250" w:x="1800" w:y="4694"/>
        <w:widowControl w:val="0"/>
        <w:autoSpaceDE w:val="0"/>
        <w:autoSpaceDN w:val="0"/>
        <w:spacing w:before="304" w:line="320" w:lineRule="exact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育视频。触目惊心的事故画面与深入细致的案例剖析，直</w:t>
      </w:r>
    </w:p>
    <w:p>
      <w:pPr>
        <w:framePr w:w="8250" w:x="1800" w:y="4694"/>
        <w:widowControl w:val="0"/>
        <w:autoSpaceDE w:val="0"/>
        <w:autoSpaceDN w:val="0"/>
        <w:spacing w:before="304" w:line="320" w:lineRule="exact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观揭示了安全隐患的严重危害，迅速引发了同学们对安全</w:t>
      </w:r>
    </w:p>
    <w:p>
      <w:pPr>
        <w:framePr w:w="8250" w:x="1800" w:y="4694"/>
        <w:widowControl w:val="0"/>
        <w:autoSpaceDE w:val="0"/>
        <w:autoSpaceDN w:val="0"/>
        <w:spacing w:before="304" w:line="320" w:lineRule="exact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问题的深刻反思，为整堂课奠定了严肃的警示基调。</w:t>
      </w:r>
    </w:p>
    <w:p>
      <w:pPr>
        <w:framePr w:w="8250" w:x="1800" w:y="14141"/>
        <w:widowControl w:val="0"/>
        <w:autoSpaceDE w:val="0"/>
        <w:autoSpaceDN w:val="0"/>
        <w:spacing w:line="320" w:lineRule="exact"/>
        <w:ind w:left="640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公开课围绕校园安全核心议题，分模块系统讲解了四</w:t>
      </w:r>
    </w:p>
    <w:p>
      <w:pPr>
        <w:framePr w:w="8250" w:x="1800" w:y="14141"/>
        <w:widowControl w:val="0"/>
        <w:autoSpaceDE w:val="0"/>
        <w:autoSpaceDN w:val="0"/>
        <w:spacing w:before="304" w:line="320" w:lineRule="exact"/>
        <w:rPr>
          <w:rFonts w:ascii="WKPM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KPMUN+FangSong_GB2312" w:hAnsi="WKPMUN+FangSong_GB2312" w:eastAsiaTheme="minorEastAsia" w:cs="WKPMUN+FangSong_GB2312"/>
          <w:color w:val="000000"/>
          <w:sz w:val="32"/>
          <w:szCs w:val="22"/>
          <w:lang w:val="en-US" w:eastAsia="en-US" w:bidi="ar-SA"/>
        </w:rPr>
        <w:t>大重点内容。一是消防安全。聚焦宿舍用电、实训室操作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417.1pt;height:318.5pt;margin-top:382pt;margin-left:88.8pt;mso-position-horizontal-relative:page;mso-position-vertical-relative:page;position:absolute;z-index:-251657216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250" w:x="1800" w:y="1573"/>
        <w:widowControl w:val="0"/>
        <w:autoSpaceDE w:val="0"/>
        <w:autoSpaceDN w:val="0"/>
        <w:spacing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等高频场景，深入剖析违规用电、私拉乱接等行为的火灾</w:t>
      </w:r>
    </w:p>
    <w:p>
      <w:pPr>
        <w:framePr w:w="8250" w:x="1800" w:y="1573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风险，现场演示灭火器使用方法，详细传授火场逃生与自</w:t>
      </w:r>
    </w:p>
    <w:p>
      <w:pPr>
        <w:framePr w:w="8250" w:x="1800" w:y="1573"/>
        <w:widowControl w:val="0"/>
        <w:autoSpaceDE w:val="0"/>
        <w:autoSpaceDN w:val="0"/>
        <w:spacing w:before="303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救技巧，帮助同学们掌握基础应急技能。二是网络安全。</w:t>
      </w:r>
    </w:p>
    <w:p>
      <w:pPr>
        <w:framePr w:w="8250" w:x="1800" w:y="1573"/>
        <w:widowControl w:val="0"/>
        <w:autoSpaceDE w:val="0"/>
        <w:autoSpaceDN w:val="0"/>
        <w:spacing w:before="303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结合计算机专业特点，拆解刷单返利、钓鱼网站、个人信</w:t>
      </w:r>
    </w:p>
    <w:p>
      <w:pPr>
        <w:framePr w:w="8250" w:x="1800" w:y="1573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息泄露等常见网络诈骗套路，普及网络谣言辨别与账号安</w:t>
      </w:r>
    </w:p>
    <w:p>
      <w:pPr>
        <w:framePr w:w="8250" w:x="1800" w:y="1573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全防护知识，强化“陌生链接不点击、可疑账号不转账”</w:t>
      </w:r>
    </w:p>
    <w:p>
      <w:pPr>
        <w:framePr w:w="8250" w:x="1800" w:y="1573"/>
        <w:widowControl w:val="0"/>
        <w:autoSpaceDE w:val="0"/>
        <w:autoSpaceDN w:val="0"/>
        <w:spacing w:before="303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的防骗准则，引导同学们筑牢数字安全屏障。三是人身与</w:t>
      </w:r>
    </w:p>
    <w:p>
      <w:pPr>
        <w:framePr w:w="8250" w:x="1800" w:y="1573"/>
        <w:widowControl w:val="0"/>
        <w:autoSpaceDE w:val="0"/>
        <w:autoSpaceDN w:val="0"/>
        <w:spacing w:before="303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财产安全。针对校园盗窃、夜间出行、校园欺凌等场景，</w:t>
      </w:r>
    </w:p>
    <w:p>
      <w:pPr>
        <w:framePr w:w="8250" w:x="1800" w:y="1573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分享财物保管、紧急避险及求助方法，提升学生自我保护</w:t>
      </w:r>
    </w:p>
    <w:p>
      <w:pPr>
        <w:framePr w:w="8250" w:x="1800" w:y="1573"/>
        <w:widowControl w:val="0"/>
        <w:autoSpaceDE w:val="0"/>
        <w:autoSpaceDN w:val="0"/>
        <w:spacing w:before="303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意识与应对能力。四是日常安全。涵盖食品安全、运动安</w:t>
      </w:r>
    </w:p>
    <w:p>
      <w:pPr>
        <w:framePr w:w="8250" w:x="1800" w:y="1573"/>
        <w:widowControl w:val="0"/>
        <w:autoSpaceDE w:val="0"/>
        <w:autoSpaceDN w:val="0"/>
        <w:spacing w:before="303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全、交通安全等方面，提醒同学们拒绝“三无”食品、规</w:t>
      </w:r>
    </w:p>
    <w:p>
      <w:pPr>
        <w:framePr w:w="8250" w:x="1800" w:y="1573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范运动热身、遵守交通与校园规则，将安全意识融入日常</w:t>
      </w:r>
    </w:p>
    <w:p>
      <w:pPr>
        <w:framePr w:w="8250" w:x="1800" w:y="1573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点滴。</w:t>
      </w:r>
    </w:p>
    <w:p>
      <w:pPr>
        <w:framePr w:w="8250" w:x="1800" w:y="9686"/>
        <w:widowControl w:val="0"/>
        <w:autoSpaceDE w:val="0"/>
        <w:autoSpaceDN w:val="0"/>
        <w:spacing w:line="320" w:lineRule="exact"/>
        <w:ind w:left="640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知识讲授结束后，同学们围绕“身边的安全隐患”</w:t>
      </w:r>
    </w:p>
    <w:p>
      <w:pPr>
        <w:framePr w:w="8250" w:x="1800" w:y="9686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“专业视角下的网络防护”等话题展开热烈讨论，并结合</w:t>
      </w:r>
    </w:p>
    <w:p>
      <w:pPr>
        <w:framePr w:w="8250" w:x="1800" w:y="9686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自身专业提出规范实验室用电操作、优化钓鱼链接识别方</w:t>
      </w:r>
    </w:p>
    <w:p>
      <w:pPr>
        <w:framePr w:w="8250" w:x="1800" w:y="9686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法等建设性建议，实现了专业知识与安全教育的有机融</w:t>
      </w:r>
    </w:p>
    <w:p>
      <w:pPr>
        <w:framePr w:w="8250" w:x="1800" w:y="9686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合，进一步巩固了学习成效。课程最后，授课教师强调</w:t>
      </w:r>
    </w:p>
    <w:p>
      <w:pPr>
        <w:framePr w:w="8250" w:x="1800" w:y="9686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“安全无小事，责任大于天”，要求全体同学将所学内化</w:t>
      </w:r>
    </w:p>
    <w:p>
      <w:pPr>
        <w:framePr w:w="8250" w:x="1800" w:y="9686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于心、外化于行，主动传播安全知识，自觉践行安全行</w:t>
      </w:r>
    </w:p>
    <w:p>
      <w:pPr>
        <w:framePr w:w="8250" w:x="1800" w:y="9686"/>
        <w:widowControl w:val="0"/>
        <w:autoSpaceDE w:val="0"/>
        <w:autoSpaceDN w:val="0"/>
        <w:spacing w:before="304"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为，争做校园安全的守护者、参与者和传播者。</w:t>
      </w:r>
    </w:p>
    <w:p>
      <w:pPr>
        <w:framePr w:w="7609" w:x="2440" w:y="14679"/>
        <w:widowControl w:val="0"/>
        <w:autoSpaceDE w:val="0"/>
        <w:autoSpaceDN w:val="0"/>
        <w:spacing w:line="320" w:lineRule="exact"/>
        <w:rPr>
          <w:rFonts w:ascii="BVIIKA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BVIIKA+FangSong_GB2312" w:hAnsi="BVIIKA+FangSong_GB2312" w:eastAsiaTheme="minorEastAsia" w:cs="BVIIKA+FangSong_GB2312"/>
          <w:color w:val="000000"/>
          <w:sz w:val="32"/>
          <w:szCs w:val="22"/>
          <w:lang w:val="en-US" w:eastAsia="en-US" w:bidi="ar-SA"/>
        </w:rPr>
        <w:t>本次校园安全公开课切实提升了学生的安全素养与应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250" w:x="1800" w:y="1573"/>
        <w:widowControl w:val="0"/>
        <w:autoSpaceDE w:val="0"/>
        <w:autoSpaceDN w:val="0"/>
        <w:spacing w:line="320" w:lineRule="exact"/>
        <w:rPr>
          <w:rFonts w:ascii="NTLK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TLKFM+FangSong_GB2312" w:hAnsi="NTLKFM+FangSong_GB2312" w:eastAsiaTheme="minorEastAsia" w:cs="NTLKFM+FangSong_GB2312"/>
          <w:color w:val="000000"/>
          <w:sz w:val="32"/>
          <w:szCs w:val="22"/>
          <w:lang w:val="en-US" w:eastAsia="en-US" w:bidi="ar-SA"/>
        </w:rPr>
        <w:t>急防范能力，为构建平安、和谐、文明校园奠定了坚实基</w:t>
      </w:r>
    </w:p>
    <w:p>
      <w:pPr>
        <w:framePr w:w="8250" w:x="1800" w:y="1573"/>
        <w:widowControl w:val="0"/>
        <w:autoSpaceDE w:val="0"/>
        <w:autoSpaceDN w:val="0"/>
        <w:spacing w:before="304" w:line="320" w:lineRule="exact"/>
        <w:rPr>
          <w:rFonts w:ascii="NTLK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TLKFM+FangSong_GB2312" w:hAnsi="NTLKFM+FangSong_GB2312" w:eastAsiaTheme="minorEastAsia" w:cs="NTLKFM+FangSong_GB2312"/>
          <w:color w:val="000000"/>
          <w:sz w:val="32"/>
          <w:szCs w:val="22"/>
          <w:lang w:val="en-US" w:eastAsia="en-US" w:bidi="ar-SA"/>
        </w:rPr>
        <w:t>础。财经商贸学院将以此为契机，持续推进安全宣传教育</w:t>
      </w:r>
    </w:p>
    <w:p>
      <w:pPr>
        <w:framePr w:w="8250" w:x="1800" w:y="1573"/>
        <w:widowControl w:val="0"/>
        <w:autoSpaceDE w:val="0"/>
        <w:autoSpaceDN w:val="0"/>
        <w:spacing w:before="304" w:line="320" w:lineRule="exact"/>
        <w:rPr>
          <w:rFonts w:ascii="NTLK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TLKFM+FangSong_GB2312" w:hAnsi="NTLKFM+FangSong_GB2312" w:eastAsiaTheme="minorEastAsia" w:cs="NTLKFM+FangSong_GB2312"/>
          <w:color w:val="000000"/>
          <w:sz w:val="32"/>
          <w:szCs w:val="22"/>
          <w:lang w:val="en-US" w:eastAsia="en-US" w:bidi="ar-SA"/>
        </w:rPr>
        <w:t>与隐患排查工作常态化，全力护航学生健康成长与全面发</w:t>
      </w:r>
    </w:p>
    <w:p>
      <w:pPr>
        <w:framePr w:w="8250" w:x="1800" w:y="1573"/>
        <w:widowControl w:val="0"/>
        <w:autoSpaceDE w:val="0"/>
        <w:autoSpaceDN w:val="0"/>
        <w:spacing w:before="304" w:line="320" w:lineRule="exact"/>
        <w:rPr>
          <w:rFonts w:ascii="NTLK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TLKFM+FangSong_GB2312" w:hAnsi="NTLKFM+FangSong_GB2312" w:eastAsiaTheme="minorEastAsia" w:cs="NTLKFM+FangSong_GB2312"/>
          <w:color w:val="000000"/>
          <w:sz w:val="32"/>
          <w:szCs w:val="22"/>
          <w:lang w:val="en-US" w:eastAsia="en-US" w:bidi="ar-SA"/>
        </w:rPr>
        <w:t>展。</w:t>
      </w:r>
    </w:p>
    <w:p>
      <w:pPr>
        <w:framePr w:w="5681" w:x="4360" w:y="4694"/>
        <w:widowControl w:val="0"/>
        <w:autoSpaceDE w:val="0"/>
        <w:autoSpaceDN w:val="0"/>
        <w:spacing w:line="320" w:lineRule="exact"/>
        <w:rPr>
          <w:rFonts w:ascii="NTLK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TLKFM+FangSong_GB2312" w:hAnsi="NTLKFM+FangSong_GB2312" w:eastAsiaTheme="minorEastAsia" w:cs="NTLKFM+FangSong_GB2312"/>
          <w:color w:val="000000"/>
          <w:sz w:val="32"/>
          <w:szCs w:val="22"/>
          <w:lang w:val="en-US" w:eastAsia="en-US" w:bidi="ar-SA"/>
        </w:rPr>
        <w:t>（供稿：校安办</w:t>
      </w:r>
      <w:r>
        <w:rPr>
          <w:rFonts w:ascii="NTLKFM+FangSong_GB2312" w:eastAsiaTheme="minorEastAsia" w:hAnsiTheme="minorHAnsi" w:cstheme="minorBidi"/>
          <w:color w:val="000000"/>
          <w:spacing w:val="160"/>
          <w:sz w:val="32"/>
          <w:szCs w:val="22"/>
          <w:lang w:val="en-US" w:eastAsia="en-US" w:bidi="ar-SA"/>
        </w:rPr>
        <w:t xml:space="preserve"> </w:t>
      </w:r>
      <w:r>
        <w:rPr>
          <w:rFonts w:ascii="NTLKFM+FangSong_GB2312" w:hAnsi="NTLKFM+FangSong_GB2312" w:eastAsiaTheme="minorEastAsia" w:cs="NTLKFM+FangSong_GB2312"/>
          <w:color w:val="000000"/>
          <w:sz w:val="32"/>
          <w:szCs w:val="22"/>
          <w:lang w:val="en-US" w:eastAsia="en-US" w:bidi="ar-SA"/>
        </w:rPr>
        <w:t>审稿：综合办公室）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CPWGSB+FZXBSJW--GB1-0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REKLTE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WKPMUN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BVIIKA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NTLKFM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