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856AA5">
      <w:pPr>
        <w:tabs>
          <w:tab w:val="left" w:pos="1540"/>
        </w:tabs>
        <w:overflowPunct w:val="0"/>
        <w:adjustRightInd w:val="0"/>
        <w:snapToGrid w:val="0"/>
        <w:spacing w:after="0" w:line="480" w:lineRule="exact"/>
        <w:rPr>
          <w:rFonts w:cs="黑体" w:asciiTheme="minorEastAsia" w:hAnsiTheme="minorEastAsia" w:eastAsiaTheme="minorEastAsia"/>
          <w:b/>
          <w:bCs/>
          <w:color w:val="0000FF"/>
          <w:sz w:val="28"/>
          <w:szCs w:val="28"/>
        </w:rPr>
      </w:pPr>
    </w:p>
    <w:p w14:paraId="2258FE68">
      <w:pPr>
        <w:overflowPunct w:val="0"/>
        <w:adjustRightInd w:val="0"/>
        <w:snapToGrid w:val="0"/>
        <w:spacing w:after="0" w:line="480" w:lineRule="exact"/>
        <w:ind w:firstLine="562" w:firstLineChars="200"/>
        <w:rPr>
          <w:rFonts w:cs="黑体" w:asciiTheme="minorEastAsia" w:hAnsiTheme="minorEastAsia" w:eastAsiaTheme="minorEastAsia"/>
          <w:b/>
          <w:bCs/>
          <w:sz w:val="28"/>
          <w:szCs w:val="28"/>
        </w:rPr>
      </w:pPr>
    </w:p>
    <w:p w14:paraId="4B2493AD">
      <w:pPr>
        <w:overflowPunct w:val="0"/>
        <w:adjustRightInd w:val="0"/>
        <w:snapToGrid w:val="0"/>
        <w:spacing w:after="0" w:line="480" w:lineRule="exact"/>
        <w:ind w:firstLine="562" w:firstLineChars="200"/>
        <w:rPr>
          <w:rFonts w:cs="黑体" w:asciiTheme="minorEastAsia" w:hAnsiTheme="minorEastAsia" w:eastAsiaTheme="minorEastAsia"/>
          <w:b/>
          <w:bCs/>
          <w:sz w:val="28"/>
          <w:szCs w:val="28"/>
        </w:rPr>
      </w:pPr>
    </w:p>
    <w:p w14:paraId="55424104">
      <w:pPr>
        <w:overflowPunct w:val="0"/>
        <w:adjustRightInd w:val="0"/>
        <w:snapToGrid w:val="0"/>
        <w:spacing w:after="0" w:line="480" w:lineRule="exact"/>
        <w:ind w:firstLine="562" w:firstLineChars="200"/>
        <w:rPr>
          <w:rFonts w:cs="黑体" w:asciiTheme="minorEastAsia" w:hAnsiTheme="minorEastAsia" w:eastAsiaTheme="minorEastAsia"/>
          <w:b/>
          <w:bCs/>
          <w:sz w:val="28"/>
          <w:szCs w:val="28"/>
        </w:rPr>
      </w:pPr>
    </w:p>
    <w:p w14:paraId="16EA079A">
      <w:pPr>
        <w:widowControl w:val="0"/>
        <w:spacing w:after="0" w:line="898" w:lineRule="exact"/>
        <w:ind w:right="712" w:firstLine="1120"/>
        <w:jc w:val="center"/>
        <w:rPr>
          <w:rFonts w:ascii="微软雅黑" w:hAnsi="Calibri" w:eastAsia="微软雅黑" w:cs="Times New Roman"/>
          <w:b/>
          <w:kern w:val="2"/>
          <w:sz w:val="56"/>
          <w:szCs w:val="21"/>
        </w:rPr>
      </w:pPr>
      <w:r>
        <w:rPr>
          <w:rFonts w:hint="eastAsia" w:ascii="微软雅黑" w:hAnsi="Calibri" w:eastAsia="微软雅黑" w:cs="Times New Roman"/>
          <w:b/>
          <w:kern w:val="2"/>
          <w:sz w:val="56"/>
          <w:szCs w:val="21"/>
        </w:rPr>
        <w:t>兰州现代职业学院</w:t>
      </w:r>
    </w:p>
    <w:p w14:paraId="2B325AD1">
      <w:pPr>
        <w:widowControl w:val="0"/>
        <w:spacing w:before="26" w:after="0" w:line="240" w:lineRule="auto"/>
        <w:ind w:right="712" w:firstLine="880"/>
        <w:jc w:val="center"/>
        <w:rPr>
          <w:rFonts w:ascii="微软雅黑" w:hAnsi="Calibri" w:eastAsia="微软雅黑" w:cs="Times New Roman"/>
          <w:b/>
          <w:kern w:val="2"/>
          <w:sz w:val="44"/>
          <w:szCs w:val="21"/>
        </w:rPr>
      </w:pPr>
      <w:r>
        <w:rPr>
          <w:rFonts w:hint="eastAsia" w:ascii="微软雅黑" w:hAnsi="Calibri" w:eastAsia="微软雅黑" w:cs="Times New Roman"/>
          <w:b/>
          <w:kern w:val="2"/>
          <w:sz w:val="44"/>
          <w:szCs w:val="21"/>
        </w:rPr>
        <w:t>“3+2” 中高职贯通培养</w:t>
      </w:r>
    </w:p>
    <w:p w14:paraId="45D2BC6C">
      <w:pPr>
        <w:widowControl w:val="0"/>
        <w:spacing w:before="26" w:after="0" w:line="240" w:lineRule="auto"/>
        <w:ind w:right="712" w:firstLine="880"/>
        <w:jc w:val="center"/>
        <w:rPr>
          <w:rFonts w:ascii="微软雅黑" w:hAnsi="Calibri" w:eastAsia="微软雅黑" w:cs="Times New Roman"/>
          <w:b/>
          <w:kern w:val="2"/>
          <w:sz w:val="44"/>
          <w:szCs w:val="21"/>
        </w:rPr>
      </w:pPr>
      <w:r>
        <w:rPr>
          <w:rFonts w:hint="eastAsia" w:ascii="微软雅黑" w:hAnsi="Calibri" w:eastAsia="微软雅黑" w:cs="Times New Roman"/>
          <w:b/>
          <w:kern w:val="2"/>
          <w:sz w:val="44"/>
          <w:szCs w:val="21"/>
        </w:rPr>
        <w:t>《会计信息管理》专业</w:t>
      </w:r>
    </w:p>
    <w:p w14:paraId="4093536D">
      <w:pPr>
        <w:widowControl w:val="0"/>
        <w:spacing w:after="0" w:line="898" w:lineRule="exact"/>
        <w:ind w:right="712" w:firstLine="1120"/>
        <w:jc w:val="center"/>
        <w:rPr>
          <w:rFonts w:ascii="微软雅黑" w:hAnsi="Calibri" w:eastAsia="微软雅黑" w:cs="Times New Roman"/>
          <w:b/>
          <w:kern w:val="2"/>
          <w:sz w:val="56"/>
          <w:szCs w:val="21"/>
        </w:rPr>
      </w:pPr>
      <w:r>
        <w:rPr>
          <w:rFonts w:hint="eastAsia" w:ascii="微软雅黑" w:hAnsi="Calibri" w:eastAsia="微软雅黑" w:cs="Times New Roman"/>
          <w:b/>
          <w:kern w:val="2"/>
          <w:sz w:val="56"/>
          <w:szCs w:val="21"/>
        </w:rPr>
        <w:t>人才培养方案</w:t>
      </w:r>
    </w:p>
    <w:p w14:paraId="6EF44E6B">
      <w:pPr>
        <w:widowControl w:val="0"/>
        <w:spacing w:before="106" w:after="0" w:line="240" w:lineRule="auto"/>
        <w:ind w:right="712" w:firstLine="562"/>
        <w:jc w:val="center"/>
        <w:rPr>
          <w:rFonts w:ascii="Calibri" w:hAnsi="Calibri" w:eastAsia="宋体" w:cs="Times New Roman"/>
          <w:b/>
          <w:kern w:val="2"/>
          <w:sz w:val="28"/>
          <w:szCs w:val="21"/>
        </w:rPr>
      </w:pPr>
      <w:r>
        <w:rPr>
          <w:rFonts w:ascii="Calibri" w:hAnsi="Calibri" w:eastAsia="宋体" w:cs="Times New Roman"/>
          <w:b/>
          <w:kern w:val="2"/>
          <w:sz w:val="28"/>
          <w:szCs w:val="21"/>
        </w:rPr>
        <w:t>（202</w:t>
      </w:r>
      <w:r>
        <w:rPr>
          <w:rFonts w:hint="eastAsia" w:ascii="Calibri" w:hAnsi="Calibri" w:eastAsia="宋体" w:cs="Times New Roman"/>
          <w:b/>
          <w:kern w:val="2"/>
          <w:sz w:val="28"/>
          <w:szCs w:val="21"/>
          <w:lang w:val="en-US" w:eastAsia="zh-CN"/>
        </w:rPr>
        <w:t>5</w:t>
      </w:r>
      <w:r>
        <w:rPr>
          <w:rFonts w:ascii="Calibri" w:hAnsi="Calibri" w:eastAsia="宋体" w:cs="Times New Roman"/>
          <w:b/>
          <w:kern w:val="2"/>
          <w:sz w:val="28"/>
          <w:szCs w:val="21"/>
        </w:rPr>
        <w:t xml:space="preserve"> 年修订）</w:t>
      </w:r>
    </w:p>
    <w:p w14:paraId="17D67897">
      <w:pPr>
        <w:overflowPunct w:val="0"/>
        <w:adjustRightInd w:val="0"/>
        <w:snapToGrid w:val="0"/>
        <w:spacing w:after="0" w:line="480" w:lineRule="exact"/>
        <w:ind w:firstLine="562" w:firstLineChars="200"/>
        <w:rPr>
          <w:rFonts w:cs="黑体" w:asciiTheme="minorEastAsia" w:hAnsiTheme="minorEastAsia" w:eastAsiaTheme="minorEastAsia"/>
          <w:b/>
          <w:bCs/>
          <w:sz w:val="28"/>
          <w:szCs w:val="28"/>
        </w:rPr>
      </w:pPr>
    </w:p>
    <w:p w14:paraId="19DCEEE2">
      <w:pPr>
        <w:overflowPunct w:val="0"/>
        <w:adjustRightInd w:val="0"/>
        <w:snapToGrid w:val="0"/>
        <w:spacing w:after="0" w:line="480" w:lineRule="exact"/>
        <w:ind w:firstLine="562" w:firstLineChars="200"/>
        <w:rPr>
          <w:rFonts w:cs="黑体" w:asciiTheme="minorEastAsia" w:hAnsiTheme="minorEastAsia" w:eastAsiaTheme="minorEastAsia"/>
          <w:b/>
          <w:bCs/>
          <w:sz w:val="28"/>
          <w:szCs w:val="28"/>
        </w:rPr>
      </w:pPr>
      <w:bookmarkStart w:id="162" w:name="_GoBack"/>
      <w:bookmarkEnd w:id="162"/>
    </w:p>
    <w:p w14:paraId="4BC50627">
      <w:pPr>
        <w:pStyle w:val="5"/>
        <w:ind w:left="880"/>
      </w:pPr>
    </w:p>
    <w:p w14:paraId="6089ECE5">
      <w:pPr>
        <w:overflowPunct w:val="0"/>
        <w:adjustRightInd w:val="0"/>
        <w:snapToGrid w:val="0"/>
        <w:spacing w:after="0" w:line="480" w:lineRule="exact"/>
        <w:ind w:firstLine="562" w:firstLineChars="200"/>
        <w:rPr>
          <w:rFonts w:cs="黑体" w:asciiTheme="minorEastAsia" w:hAnsiTheme="minorEastAsia" w:eastAsiaTheme="minorEastAsia"/>
          <w:b/>
          <w:bCs/>
          <w:sz w:val="28"/>
          <w:szCs w:val="28"/>
        </w:rPr>
      </w:pPr>
    </w:p>
    <w:p w14:paraId="65C72A0A">
      <w:pPr>
        <w:widowControl w:val="0"/>
        <w:spacing w:after="0" w:line="560" w:lineRule="exact"/>
        <w:ind w:firstLine="1280" w:firstLineChars="400"/>
        <w:jc w:val="both"/>
        <w:rPr>
          <w:rFonts w:ascii="楷体_GB2312" w:hAnsi="Calibri" w:eastAsia="楷体_GB2312" w:cs="Times New Roman"/>
          <w:kern w:val="2"/>
          <w:sz w:val="32"/>
          <w:szCs w:val="32"/>
        </w:rPr>
      </w:pPr>
      <w:r>
        <w:rPr>
          <w:rFonts w:hint="eastAsia" w:ascii="楷体_GB2312" w:hAnsi="Calibri" w:eastAsia="楷体_GB2312" w:cs="Times New Roman"/>
          <w:kern w:val="2"/>
          <w:sz w:val="32"/>
          <w:szCs w:val="32"/>
        </w:rPr>
        <w:t>学院名称（盖章）：兰州现代职业学院</w:t>
      </w:r>
    </w:p>
    <w:p w14:paraId="24A4A79D">
      <w:pPr>
        <w:widowControl w:val="0"/>
        <w:spacing w:after="0" w:line="560" w:lineRule="exact"/>
        <w:ind w:firstLine="1280" w:firstLineChars="400"/>
        <w:jc w:val="both"/>
        <w:rPr>
          <w:rFonts w:ascii="楷体" w:hAnsi="楷体" w:eastAsia="楷体" w:cs="Times New Roman"/>
          <w:kern w:val="2"/>
          <w:sz w:val="32"/>
          <w:szCs w:val="32"/>
        </w:rPr>
      </w:pPr>
      <w:r>
        <w:rPr>
          <w:rFonts w:hint="eastAsia" w:ascii="楷体_GB2312" w:hAnsi="Calibri" w:eastAsia="楷体_GB2312" w:cs="Times New Roman"/>
          <w:kern w:val="2"/>
          <w:sz w:val="32"/>
          <w:szCs w:val="32"/>
        </w:rPr>
        <w:t xml:space="preserve">层  </w:t>
      </w:r>
      <w:r>
        <w:rPr>
          <w:rFonts w:hint="eastAsia" w:ascii="楷体_GB2312" w:hAnsi="Calibri" w:eastAsia="楷体_GB2312" w:cs="Times New Roman"/>
          <w:kern w:val="2"/>
          <w:sz w:val="32"/>
          <w:szCs w:val="32"/>
        </w:rPr>
        <w:tab/>
      </w:r>
      <w:r>
        <w:rPr>
          <w:rFonts w:hint="eastAsia" w:ascii="楷体_GB2312" w:hAnsi="Calibri" w:eastAsia="楷体_GB2312" w:cs="Times New Roman"/>
          <w:kern w:val="2"/>
          <w:sz w:val="32"/>
          <w:szCs w:val="32"/>
        </w:rPr>
        <w:t>次：</w:t>
      </w:r>
      <w:r>
        <w:rPr>
          <w:rFonts w:ascii="楷体" w:hAnsi="楷体" w:eastAsia="楷体" w:cs="Courier New"/>
          <w:kern w:val="2"/>
          <w:sz w:val="32"/>
          <w:szCs w:val="32"/>
        </w:rPr>
        <w:t>“</w:t>
      </w:r>
      <w:r>
        <w:rPr>
          <w:rFonts w:hint="eastAsia" w:ascii="楷体" w:hAnsi="楷体" w:eastAsia="楷体" w:cs="Times New Roman"/>
          <w:kern w:val="2"/>
          <w:sz w:val="32"/>
          <w:szCs w:val="32"/>
        </w:rPr>
        <w:t xml:space="preserve">3+2 </w:t>
      </w:r>
      <w:r>
        <w:rPr>
          <w:rFonts w:ascii="楷体" w:hAnsi="楷体" w:eastAsia="楷体" w:cs="Courier New"/>
          <w:kern w:val="2"/>
          <w:sz w:val="32"/>
          <w:szCs w:val="32"/>
        </w:rPr>
        <w:t>”</w:t>
      </w:r>
      <w:r>
        <w:rPr>
          <w:rFonts w:hint="eastAsia" w:ascii="楷体" w:hAnsi="楷体" w:eastAsia="楷体" w:cs="___WRD_EMBED_SUB_48"/>
          <w:kern w:val="2"/>
          <w:sz w:val="32"/>
          <w:szCs w:val="32"/>
        </w:rPr>
        <w:t>中高职贯通</w:t>
      </w:r>
      <w:r>
        <w:rPr>
          <w:rFonts w:hint="eastAsia" w:ascii="楷体" w:hAnsi="楷体" w:eastAsia="楷体" w:cs="微软雅黑"/>
          <w:kern w:val="2"/>
          <w:sz w:val="32"/>
          <w:szCs w:val="32"/>
        </w:rPr>
        <w:t>培养</w:t>
      </w:r>
    </w:p>
    <w:p w14:paraId="5BBEEDAD">
      <w:pPr>
        <w:widowControl w:val="0"/>
        <w:spacing w:after="0" w:line="560" w:lineRule="exact"/>
        <w:ind w:firstLine="1280" w:firstLineChars="400"/>
        <w:jc w:val="both"/>
        <w:rPr>
          <w:rFonts w:ascii="楷体" w:hAnsi="楷体" w:eastAsia="楷体" w:cs="Times New Roman"/>
          <w:kern w:val="2"/>
          <w:sz w:val="32"/>
          <w:szCs w:val="32"/>
        </w:rPr>
      </w:pPr>
      <w:r>
        <w:rPr>
          <w:rFonts w:hint="eastAsia" w:ascii="楷体_GB2312" w:hAnsi="Calibri" w:eastAsia="楷体_GB2312" w:cs="Times New Roman"/>
          <w:kern w:val="2"/>
          <w:sz w:val="32"/>
          <w:szCs w:val="32"/>
        </w:rPr>
        <w:t>专业名称：</w:t>
      </w:r>
      <w:r>
        <w:rPr>
          <w:rFonts w:hint="eastAsia" w:ascii="楷体" w:hAnsi="楷体" w:eastAsia="楷体" w:cs="Times New Roman"/>
          <w:kern w:val="2"/>
          <w:sz w:val="32"/>
          <w:szCs w:val="32"/>
        </w:rPr>
        <w:t>会计事务（中职）</w:t>
      </w:r>
    </w:p>
    <w:p w14:paraId="46B0F62A">
      <w:pPr>
        <w:widowControl w:val="0"/>
        <w:spacing w:after="0" w:line="560" w:lineRule="exact"/>
        <w:ind w:firstLine="2880" w:firstLineChars="900"/>
        <w:jc w:val="both"/>
        <w:rPr>
          <w:rFonts w:ascii="楷体" w:hAnsi="楷体" w:eastAsia="楷体" w:cs="Times New Roman"/>
          <w:kern w:val="2"/>
          <w:sz w:val="32"/>
          <w:szCs w:val="32"/>
        </w:rPr>
      </w:pPr>
      <w:r>
        <w:rPr>
          <w:rFonts w:hint="eastAsia" w:ascii="楷体" w:hAnsi="楷体" w:eastAsia="楷体" w:cs="微软雅黑"/>
          <w:kern w:val="2"/>
          <w:sz w:val="32"/>
          <w:szCs w:val="32"/>
        </w:rPr>
        <w:t>会计信息管理</w:t>
      </w:r>
      <w:r>
        <w:rPr>
          <w:rFonts w:hint="eastAsia" w:ascii="楷体" w:hAnsi="楷体" w:eastAsia="楷体" w:cs="___WRD_EMBED_SUB_48"/>
          <w:kern w:val="2"/>
          <w:sz w:val="32"/>
          <w:szCs w:val="32"/>
        </w:rPr>
        <w:t>（高职）</w:t>
      </w:r>
    </w:p>
    <w:p w14:paraId="0DE08DD1">
      <w:pPr>
        <w:widowControl w:val="0"/>
        <w:spacing w:after="0" w:line="560" w:lineRule="exact"/>
        <w:ind w:firstLine="1280" w:firstLineChars="400"/>
        <w:jc w:val="both"/>
        <w:rPr>
          <w:rFonts w:ascii="楷体" w:hAnsi="楷体" w:eastAsia="楷体" w:cs="Times New Roman"/>
          <w:kern w:val="2"/>
          <w:sz w:val="32"/>
          <w:szCs w:val="32"/>
        </w:rPr>
      </w:pPr>
      <w:r>
        <w:rPr>
          <w:rFonts w:hint="eastAsia" w:ascii="楷体_GB2312" w:hAnsi="Calibri" w:eastAsia="楷体_GB2312" w:cs="Times New Roman"/>
          <w:kern w:val="2"/>
          <w:sz w:val="32"/>
          <w:szCs w:val="32"/>
        </w:rPr>
        <w:t>专业代码：</w:t>
      </w:r>
      <w:r>
        <w:rPr>
          <w:rFonts w:ascii="楷体" w:hAnsi="楷体" w:eastAsia="楷体" w:cs="Times New Roman"/>
          <w:kern w:val="2"/>
          <w:sz w:val="32"/>
          <w:szCs w:val="32"/>
        </w:rPr>
        <w:t>730301</w:t>
      </w:r>
      <w:r>
        <w:rPr>
          <w:rFonts w:hint="eastAsia" w:ascii="楷体" w:hAnsi="楷体" w:eastAsia="楷体" w:cs="Times New Roman"/>
          <w:kern w:val="2"/>
          <w:sz w:val="32"/>
          <w:szCs w:val="32"/>
        </w:rPr>
        <w:t xml:space="preserve"> （中职）</w:t>
      </w:r>
    </w:p>
    <w:p w14:paraId="7AAD3542">
      <w:pPr>
        <w:widowControl w:val="0"/>
        <w:spacing w:after="0" w:line="560" w:lineRule="exact"/>
        <w:ind w:firstLine="2880" w:firstLineChars="900"/>
        <w:jc w:val="both"/>
        <w:rPr>
          <w:rFonts w:ascii="楷体" w:hAnsi="楷体" w:eastAsia="楷体" w:cs="Times New Roman"/>
          <w:kern w:val="2"/>
          <w:sz w:val="32"/>
          <w:szCs w:val="32"/>
        </w:rPr>
      </w:pPr>
      <w:r>
        <w:rPr>
          <w:rFonts w:ascii="楷体" w:hAnsi="楷体" w:eastAsia="楷体" w:cs="Times New Roman"/>
          <w:kern w:val="2"/>
          <w:sz w:val="32"/>
          <w:szCs w:val="32"/>
        </w:rPr>
        <w:t>530304</w:t>
      </w:r>
      <w:r>
        <w:rPr>
          <w:rFonts w:hint="eastAsia" w:ascii="楷体" w:hAnsi="楷体" w:eastAsia="楷体" w:cs="Times New Roman"/>
          <w:kern w:val="2"/>
          <w:sz w:val="32"/>
          <w:szCs w:val="32"/>
        </w:rPr>
        <w:t xml:space="preserve"> （高职）</w:t>
      </w:r>
    </w:p>
    <w:p w14:paraId="61E116DE">
      <w:pPr>
        <w:widowControl w:val="0"/>
        <w:spacing w:after="0" w:line="560" w:lineRule="exact"/>
        <w:ind w:firstLine="1280" w:firstLineChars="400"/>
        <w:jc w:val="both"/>
        <w:rPr>
          <w:rFonts w:ascii="楷体_GB2312" w:hAnsi="Calibri" w:eastAsia="楷体_GB2312" w:cs="Times New Roman"/>
          <w:kern w:val="2"/>
          <w:sz w:val="32"/>
          <w:szCs w:val="32"/>
        </w:rPr>
      </w:pPr>
      <w:r>
        <w:rPr>
          <w:rFonts w:hint="eastAsia" w:ascii="楷体_GB2312" w:hAnsi="Calibri" w:eastAsia="楷体_GB2312" w:cs="Times New Roman"/>
          <w:kern w:val="2"/>
          <w:sz w:val="32"/>
          <w:szCs w:val="32"/>
        </w:rPr>
        <w:t>修业年限：5 年</w:t>
      </w:r>
    </w:p>
    <w:p w14:paraId="2651E828">
      <w:pPr>
        <w:overflowPunct w:val="0"/>
        <w:adjustRightInd w:val="0"/>
        <w:snapToGrid w:val="0"/>
        <w:spacing w:after="0" w:line="480" w:lineRule="exact"/>
        <w:ind w:firstLine="562" w:firstLineChars="200"/>
        <w:rPr>
          <w:rFonts w:cs="黑体" w:asciiTheme="minorEastAsia" w:hAnsiTheme="minorEastAsia" w:eastAsiaTheme="minorEastAsia"/>
          <w:b/>
          <w:bCs/>
          <w:sz w:val="28"/>
          <w:szCs w:val="28"/>
        </w:rPr>
      </w:pPr>
    </w:p>
    <w:p w14:paraId="12E85A59">
      <w:pPr>
        <w:overflowPunct w:val="0"/>
        <w:adjustRightInd w:val="0"/>
        <w:snapToGrid w:val="0"/>
        <w:spacing w:after="0" w:line="480" w:lineRule="exact"/>
        <w:ind w:firstLine="562" w:firstLineChars="200"/>
        <w:rPr>
          <w:rFonts w:cs="黑体" w:asciiTheme="minorEastAsia" w:hAnsiTheme="minorEastAsia" w:eastAsiaTheme="minorEastAsia"/>
          <w:b/>
          <w:bCs/>
          <w:sz w:val="28"/>
          <w:szCs w:val="28"/>
        </w:rPr>
      </w:pPr>
    </w:p>
    <w:p w14:paraId="76DEBAE8">
      <w:pPr>
        <w:overflowPunct w:val="0"/>
        <w:adjustRightInd w:val="0"/>
        <w:snapToGrid w:val="0"/>
        <w:spacing w:after="0" w:line="480" w:lineRule="exact"/>
        <w:ind w:firstLine="562" w:firstLineChars="200"/>
        <w:rPr>
          <w:rFonts w:cs="黑体" w:asciiTheme="minorEastAsia" w:hAnsiTheme="minorEastAsia" w:eastAsiaTheme="minorEastAsia"/>
          <w:b/>
          <w:bCs/>
          <w:sz w:val="28"/>
          <w:szCs w:val="28"/>
        </w:rPr>
      </w:pPr>
    </w:p>
    <w:p w14:paraId="59B5476C">
      <w:pPr>
        <w:rPr>
          <w:rFonts w:ascii="微软雅黑" w:hAnsi="微软雅黑" w:eastAsia="微软雅黑"/>
          <w:b/>
          <w:sz w:val="36"/>
          <w:szCs w:val="36"/>
        </w:rPr>
      </w:pPr>
      <w:bookmarkStart w:id="0" w:name="_Toc2179"/>
      <w:bookmarkStart w:id="1" w:name="_Toc77884739"/>
      <w:r>
        <w:rPr>
          <w:rFonts w:hint="eastAsia" w:ascii="微软雅黑" w:hAnsi="微软雅黑" w:eastAsia="微软雅黑"/>
          <w:b/>
          <w:sz w:val="36"/>
          <w:szCs w:val="36"/>
        </w:rPr>
        <w:br w:type="page"/>
      </w:r>
    </w:p>
    <w:p w14:paraId="1A81DEDE">
      <w:pPr>
        <w:tabs>
          <w:tab w:val="right" w:leader="dot" w:pos="9062"/>
        </w:tabs>
        <w:jc w:val="center"/>
        <w:rPr>
          <w:rFonts w:ascii="微软雅黑" w:hAnsi="微软雅黑" w:eastAsia="微软雅黑"/>
          <w:b/>
          <w:bCs/>
          <w:color w:val="000000" w:themeColor="text1"/>
          <w:sz w:val="44"/>
          <w:szCs w:val="44"/>
          <w14:textFill>
            <w14:solidFill>
              <w14:schemeClr w14:val="tx1"/>
            </w14:solidFill>
          </w14:textFill>
        </w:rPr>
      </w:pPr>
      <w:r>
        <w:rPr>
          <w:rFonts w:hint="eastAsia"/>
          <w:b/>
          <w:sz w:val="32"/>
          <w:szCs w:val="32"/>
          <w:lang w:val="zh-CN"/>
        </w:rPr>
        <w:t>目  录</w:t>
      </w:r>
    </w:p>
    <w:tbl>
      <w:tblPr>
        <w:tblStyle w:val="13"/>
        <w:tblW w:w="5000" w:type="pct"/>
        <w:tblInd w:w="0" w:type="dxa"/>
        <w:tblLayout w:type="autofit"/>
        <w:tblCellMar>
          <w:top w:w="0" w:type="dxa"/>
          <w:left w:w="108" w:type="dxa"/>
          <w:bottom w:w="0" w:type="dxa"/>
          <w:right w:w="108" w:type="dxa"/>
        </w:tblCellMar>
      </w:tblPr>
      <w:tblGrid>
        <w:gridCol w:w="9286"/>
      </w:tblGrid>
      <w:tr w14:paraId="267DD230">
        <w:tblPrEx>
          <w:tblCellMar>
            <w:top w:w="0" w:type="dxa"/>
            <w:left w:w="108" w:type="dxa"/>
            <w:bottom w:w="0" w:type="dxa"/>
            <w:right w:w="108" w:type="dxa"/>
          </w:tblCellMar>
        </w:tblPrEx>
        <w:trPr>
          <w:trHeight w:val="342" w:hRule="atLeast"/>
        </w:trPr>
        <w:tc>
          <w:tcPr>
            <w:tcW w:w="5000" w:type="pct"/>
            <w:tcBorders>
              <w:top w:val="nil"/>
              <w:left w:val="nil"/>
              <w:bottom w:val="nil"/>
              <w:right w:val="nil"/>
            </w:tcBorders>
            <w:shd w:val="clear" w:color="auto" w:fill="auto"/>
            <w:noWrap/>
            <w:vAlign w:val="center"/>
          </w:tcPr>
          <w:sdt>
            <w:sdtPr>
              <w:rPr>
                <w:rFonts w:ascii="宋体" w:hAnsi="宋体" w:eastAsia="宋体"/>
                <w:sz w:val="21"/>
              </w:rPr>
              <w:id w:val="147460162"/>
              <w15:color w:val="DBDBDB"/>
              <w:docPartObj>
                <w:docPartGallery w:val="Table of Contents"/>
                <w:docPartUnique/>
              </w:docPartObj>
            </w:sdtPr>
            <w:sdtEndPr>
              <w:rPr>
                <w:rFonts w:asciiTheme="majorHAnsi" w:hAnsiTheme="majorHAnsi" w:eastAsiaTheme="majorEastAsia"/>
                <w:b/>
                <w:sz w:val="22"/>
              </w:rPr>
            </w:sdtEndPr>
            <w:sdtContent>
              <w:p w14:paraId="034F9BF5">
                <w:pPr>
                  <w:spacing w:after="0" w:line="312" w:lineRule="auto"/>
                  <w:jc w:val="center"/>
                  <w:rPr>
                    <w:b/>
                  </w:rPr>
                </w:pPr>
                <w:r>
                  <w:fldChar w:fldCharType="begin"/>
                </w:r>
                <w:r>
                  <w:instrText xml:space="preserve">TOC \o "1-2" \h \u </w:instrText>
                </w:r>
                <w:r>
                  <w:fldChar w:fldCharType="separate"/>
                </w:r>
              </w:p>
              <w:p w14:paraId="201EA70D">
                <w:pPr>
                  <w:pStyle w:val="63"/>
                  <w:tabs>
                    <w:tab w:val="right" w:leader="dot" w:pos="9070"/>
                  </w:tabs>
                  <w:spacing w:line="312" w:lineRule="auto"/>
                  <w:rPr>
                    <w:b/>
                  </w:rPr>
                </w:pPr>
                <w:r>
                  <w:fldChar w:fldCharType="begin"/>
                </w:r>
                <w:r>
                  <w:instrText xml:space="preserve"> HYPERLINK \l "_Toc13065" </w:instrText>
                </w:r>
                <w:r>
                  <w:fldChar w:fldCharType="separate"/>
                </w:r>
                <w:r>
                  <w:rPr>
                    <w:b/>
                    <w:bCs/>
                    <w:szCs w:val="28"/>
                  </w:rPr>
                  <w:t>一、专业名称及代码</w:t>
                </w:r>
                <w:r>
                  <w:rPr>
                    <w:b/>
                  </w:rPr>
                  <w:tab/>
                </w:r>
                <w:r>
                  <w:rPr>
                    <w:b/>
                  </w:rPr>
                  <w:fldChar w:fldCharType="begin"/>
                </w:r>
                <w:r>
                  <w:rPr>
                    <w:b/>
                  </w:rPr>
                  <w:instrText xml:space="preserve"> PAGEREF _Toc13065 \h </w:instrText>
                </w:r>
                <w:r>
                  <w:rPr>
                    <w:b/>
                  </w:rPr>
                  <w:fldChar w:fldCharType="separate"/>
                </w:r>
                <w:r>
                  <w:rPr>
                    <w:b/>
                  </w:rPr>
                  <w:t>0</w:t>
                </w:r>
                <w:r>
                  <w:rPr>
                    <w:b/>
                  </w:rPr>
                  <w:fldChar w:fldCharType="end"/>
                </w:r>
                <w:r>
                  <w:rPr>
                    <w:b/>
                  </w:rPr>
                  <w:fldChar w:fldCharType="end"/>
                </w:r>
              </w:p>
              <w:p w14:paraId="52FB552C">
                <w:pPr>
                  <w:pStyle w:val="63"/>
                  <w:tabs>
                    <w:tab w:val="right" w:leader="dot" w:pos="9070"/>
                  </w:tabs>
                  <w:spacing w:line="312" w:lineRule="auto"/>
                  <w:rPr>
                    <w:b/>
                  </w:rPr>
                </w:pPr>
                <w:r>
                  <w:fldChar w:fldCharType="begin"/>
                </w:r>
                <w:r>
                  <w:instrText xml:space="preserve"> HYPERLINK \l "_Toc21922" </w:instrText>
                </w:r>
                <w:r>
                  <w:fldChar w:fldCharType="separate"/>
                </w:r>
                <w:r>
                  <w:rPr>
                    <w:b/>
                    <w:bCs/>
                    <w:szCs w:val="28"/>
                  </w:rPr>
                  <w:t>二、入学要求</w:t>
                </w:r>
                <w:r>
                  <w:rPr>
                    <w:b/>
                  </w:rPr>
                  <w:tab/>
                </w:r>
                <w:r>
                  <w:rPr>
                    <w:b/>
                  </w:rPr>
                  <w:fldChar w:fldCharType="begin"/>
                </w:r>
                <w:r>
                  <w:rPr>
                    <w:b/>
                  </w:rPr>
                  <w:instrText xml:space="preserve"> PAGEREF _Toc21922 \h </w:instrText>
                </w:r>
                <w:r>
                  <w:rPr>
                    <w:b/>
                  </w:rPr>
                  <w:fldChar w:fldCharType="separate"/>
                </w:r>
                <w:r>
                  <w:rPr>
                    <w:b/>
                  </w:rPr>
                  <w:t>0</w:t>
                </w:r>
                <w:r>
                  <w:rPr>
                    <w:b/>
                  </w:rPr>
                  <w:fldChar w:fldCharType="end"/>
                </w:r>
                <w:r>
                  <w:rPr>
                    <w:b/>
                  </w:rPr>
                  <w:fldChar w:fldCharType="end"/>
                </w:r>
              </w:p>
              <w:p w14:paraId="0EFF535A">
                <w:pPr>
                  <w:pStyle w:val="63"/>
                  <w:tabs>
                    <w:tab w:val="right" w:leader="dot" w:pos="9070"/>
                  </w:tabs>
                  <w:spacing w:line="312" w:lineRule="auto"/>
                  <w:rPr>
                    <w:b/>
                  </w:rPr>
                </w:pPr>
                <w:r>
                  <w:fldChar w:fldCharType="begin"/>
                </w:r>
                <w:r>
                  <w:instrText xml:space="preserve"> HYPERLINK \l "_Toc12753" </w:instrText>
                </w:r>
                <w:r>
                  <w:fldChar w:fldCharType="separate"/>
                </w:r>
                <w:r>
                  <w:rPr>
                    <w:b/>
                    <w:bCs/>
                    <w:szCs w:val="28"/>
                  </w:rPr>
                  <w:t>三、修业年限</w:t>
                </w:r>
                <w:r>
                  <w:rPr>
                    <w:b/>
                  </w:rPr>
                  <w:tab/>
                </w:r>
                <w:r>
                  <w:rPr>
                    <w:b/>
                  </w:rPr>
                  <w:fldChar w:fldCharType="begin"/>
                </w:r>
                <w:r>
                  <w:rPr>
                    <w:b/>
                  </w:rPr>
                  <w:instrText xml:space="preserve"> PAGEREF _Toc12753 \h </w:instrText>
                </w:r>
                <w:r>
                  <w:rPr>
                    <w:b/>
                  </w:rPr>
                  <w:fldChar w:fldCharType="separate"/>
                </w:r>
                <w:r>
                  <w:rPr>
                    <w:b/>
                  </w:rPr>
                  <w:t>0</w:t>
                </w:r>
                <w:r>
                  <w:rPr>
                    <w:b/>
                  </w:rPr>
                  <w:fldChar w:fldCharType="end"/>
                </w:r>
                <w:r>
                  <w:rPr>
                    <w:b/>
                  </w:rPr>
                  <w:fldChar w:fldCharType="end"/>
                </w:r>
              </w:p>
              <w:p w14:paraId="742D596B">
                <w:pPr>
                  <w:pStyle w:val="63"/>
                  <w:tabs>
                    <w:tab w:val="right" w:leader="dot" w:pos="9070"/>
                  </w:tabs>
                  <w:spacing w:line="312" w:lineRule="auto"/>
                  <w:rPr>
                    <w:b/>
                  </w:rPr>
                </w:pPr>
                <w:r>
                  <w:fldChar w:fldCharType="begin"/>
                </w:r>
                <w:r>
                  <w:instrText xml:space="preserve"> HYPERLINK \l "_Toc15361" </w:instrText>
                </w:r>
                <w:r>
                  <w:fldChar w:fldCharType="separate"/>
                </w:r>
                <w:r>
                  <w:rPr>
                    <w:b/>
                    <w:bCs/>
                    <w:szCs w:val="28"/>
                  </w:rPr>
                  <w:t>四、职业面向</w:t>
                </w:r>
                <w:r>
                  <w:rPr>
                    <w:rFonts w:hint="eastAsia"/>
                    <w:b/>
                    <w:bCs/>
                    <w:szCs w:val="28"/>
                  </w:rPr>
                  <w:t>及职业岗位分析</w:t>
                </w:r>
                <w:r>
                  <w:rPr>
                    <w:b/>
                  </w:rPr>
                  <w:tab/>
                </w:r>
                <w:r>
                  <w:rPr>
                    <w:b/>
                  </w:rPr>
                  <w:fldChar w:fldCharType="begin"/>
                </w:r>
                <w:r>
                  <w:rPr>
                    <w:b/>
                  </w:rPr>
                  <w:instrText xml:space="preserve"> PAGEREF _Toc15361 \h </w:instrText>
                </w:r>
                <w:r>
                  <w:rPr>
                    <w:b/>
                  </w:rPr>
                  <w:fldChar w:fldCharType="separate"/>
                </w:r>
                <w:r>
                  <w:rPr>
                    <w:b/>
                  </w:rPr>
                  <w:t>0</w:t>
                </w:r>
                <w:r>
                  <w:rPr>
                    <w:b/>
                  </w:rPr>
                  <w:fldChar w:fldCharType="end"/>
                </w:r>
                <w:r>
                  <w:rPr>
                    <w:b/>
                  </w:rPr>
                  <w:fldChar w:fldCharType="end"/>
                </w:r>
              </w:p>
              <w:p w14:paraId="0ACC40C8">
                <w:pPr>
                  <w:pStyle w:val="64"/>
                  <w:tabs>
                    <w:tab w:val="right" w:leader="dot" w:pos="9070"/>
                  </w:tabs>
                  <w:spacing w:line="312" w:lineRule="auto"/>
                  <w:ind w:left="440"/>
                </w:pPr>
                <w:r>
                  <w:fldChar w:fldCharType="begin"/>
                </w:r>
                <w:r>
                  <w:instrText xml:space="preserve"> HYPERLINK \l "_Toc16676" </w:instrText>
                </w:r>
                <w:r>
                  <w:fldChar w:fldCharType="separate"/>
                </w:r>
                <w:r>
                  <w:rPr>
                    <w:rFonts w:hint="eastAsia" w:ascii="宋体" w:hAnsi="宋体" w:cs="宋体" w:eastAsiaTheme="majorEastAsia"/>
                    <w:bCs/>
                    <w:szCs w:val="21"/>
                    <w:lang w:val="zh-CN" w:bidi="zh-CN"/>
                  </w:rPr>
                  <w:t>(一)本专业</w:t>
                </w:r>
                <w:r>
                  <w:rPr>
                    <w:rFonts w:hint="eastAsia" w:eastAsiaTheme="majorEastAsia"/>
                    <w:lang w:val="zh-CN"/>
                  </w:rPr>
                  <w:t>职业</w:t>
                </w:r>
                <w:r>
                  <w:rPr>
                    <w:rFonts w:hint="eastAsia" w:ascii="宋体" w:hAnsi="宋体" w:cs="宋体" w:eastAsiaTheme="majorEastAsia"/>
                    <w:bCs/>
                    <w:szCs w:val="21"/>
                    <w:lang w:val="zh-CN" w:bidi="zh-CN"/>
                  </w:rPr>
                  <w:t>面向</w:t>
                </w:r>
                <w:r>
                  <w:tab/>
                </w:r>
                <w:r>
                  <w:fldChar w:fldCharType="begin"/>
                </w:r>
                <w:r>
                  <w:instrText xml:space="preserve"> PAGEREF _Toc16676 \h </w:instrText>
                </w:r>
                <w:r>
                  <w:fldChar w:fldCharType="separate"/>
                </w:r>
                <w:r>
                  <w:t>0</w:t>
                </w:r>
                <w:r>
                  <w:fldChar w:fldCharType="end"/>
                </w:r>
                <w:r>
                  <w:fldChar w:fldCharType="end"/>
                </w:r>
              </w:p>
              <w:p w14:paraId="58DDE324">
                <w:pPr>
                  <w:pStyle w:val="64"/>
                  <w:tabs>
                    <w:tab w:val="right" w:leader="dot" w:pos="9070"/>
                  </w:tabs>
                  <w:spacing w:line="312" w:lineRule="auto"/>
                  <w:ind w:left="440"/>
                </w:pPr>
                <w:r>
                  <w:fldChar w:fldCharType="begin"/>
                </w:r>
                <w:r>
                  <w:instrText xml:space="preserve"> HYPERLINK \l "_Toc1749" </w:instrText>
                </w:r>
                <w:r>
                  <w:fldChar w:fldCharType="separate"/>
                </w:r>
                <w:r>
                  <w:rPr>
                    <w:rFonts w:hint="eastAsia" w:eastAsiaTheme="majorEastAsia"/>
                  </w:rPr>
                  <w:t>（二）本专业职业资格鉴定项目</w:t>
                </w:r>
                <w:r>
                  <w:tab/>
                </w:r>
                <w:r>
                  <w:fldChar w:fldCharType="begin"/>
                </w:r>
                <w:r>
                  <w:instrText xml:space="preserve"> PAGEREF _Toc1749 \h </w:instrText>
                </w:r>
                <w:r>
                  <w:fldChar w:fldCharType="separate"/>
                </w:r>
                <w:r>
                  <w:rPr>
                    <w:rFonts w:hint="eastAsia"/>
                    <w:b/>
                    <w:bCs/>
                  </w:rPr>
                  <w:t>错误!未定义书签。</w:t>
                </w:r>
                <w:r>
                  <w:fldChar w:fldCharType="end"/>
                </w:r>
                <w:r>
                  <w:fldChar w:fldCharType="end"/>
                </w:r>
              </w:p>
              <w:p w14:paraId="535FB58B">
                <w:pPr>
                  <w:pStyle w:val="63"/>
                  <w:tabs>
                    <w:tab w:val="right" w:leader="dot" w:pos="9070"/>
                  </w:tabs>
                  <w:spacing w:line="312" w:lineRule="auto"/>
                  <w:rPr>
                    <w:b/>
                  </w:rPr>
                </w:pPr>
                <w:r>
                  <w:fldChar w:fldCharType="begin"/>
                </w:r>
                <w:r>
                  <w:instrText xml:space="preserve"> HYPERLINK \l "_Toc13800" </w:instrText>
                </w:r>
                <w:r>
                  <w:fldChar w:fldCharType="separate"/>
                </w:r>
                <w:r>
                  <w:rPr>
                    <w:b/>
                    <w:bCs/>
                    <w:szCs w:val="28"/>
                  </w:rPr>
                  <w:t>五、培养目标与培养规格</w:t>
                </w:r>
                <w:r>
                  <w:rPr>
                    <w:b/>
                  </w:rPr>
                  <w:tab/>
                </w:r>
                <w:r>
                  <w:rPr>
                    <w:b/>
                  </w:rPr>
                  <w:fldChar w:fldCharType="begin"/>
                </w:r>
                <w:r>
                  <w:rPr>
                    <w:b/>
                  </w:rPr>
                  <w:instrText xml:space="preserve"> PAGEREF _Toc13800 \h </w:instrText>
                </w:r>
                <w:r>
                  <w:rPr>
                    <w:b/>
                  </w:rPr>
                  <w:fldChar w:fldCharType="separate"/>
                </w:r>
                <w:r>
                  <w:rPr>
                    <w:rFonts w:hint="eastAsia"/>
                    <w:bCs/>
                  </w:rPr>
                  <w:t>错误!未定义书签。</w:t>
                </w:r>
                <w:r>
                  <w:rPr>
                    <w:b/>
                  </w:rPr>
                  <w:fldChar w:fldCharType="end"/>
                </w:r>
                <w:r>
                  <w:rPr>
                    <w:b/>
                  </w:rPr>
                  <w:fldChar w:fldCharType="end"/>
                </w:r>
              </w:p>
              <w:p w14:paraId="19C46AB1">
                <w:pPr>
                  <w:pStyle w:val="64"/>
                  <w:tabs>
                    <w:tab w:val="right" w:leader="dot" w:pos="9070"/>
                  </w:tabs>
                  <w:spacing w:line="312" w:lineRule="auto"/>
                  <w:ind w:left="440"/>
                </w:pPr>
                <w:r>
                  <w:fldChar w:fldCharType="begin"/>
                </w:r>
                <w:r>
                  <w:instrText xml:space="preserve"> HYPERLINK \l "_Toc27120" </w:instrText>
                </w:r>
                <w:r>
                  <w:fldChar w:fldCharType="separate"/>
                </w:r>
                <w:r>
                  <w:rPr>
                    <w:rFonts w:hint="eastAsia" w:eastAsiaTheme="majorEastAsia"/>
                  </w:rPr>
                  <w:t>（一）培养目标</w:t>
                </w:r>
                <w:r>
                  <w:tab/>
                </w:r>
                <w:r>
                  <w:fldChar w:fldCharType="begin"/>
                </w:r>
                <w:r>
                  <w:instrText xml:space="preserve"> PAGEREF _Toc27120 \h </w:instrText>
                </w:r>
                <w:r>
                  <w:fldChar w:fldCharType="separate"/>
                </w:r>
                <w:r>
                  <w:rPr>
                    <w:rFonts w:hint="eastAsia"/>
                    <w:b/>
                    <w:bCs/>
                  </w:rPr>
                  <w:t>错误!未定义书签。</w:t>
                </w:r>
                <w:r>
                  <w:fldChar w:fldCharType="end"/>
                </w:r>
                <w:r>
                  <w:fldChar w:fldCharType="end"/>
                </w:r>
              </w:p>
              <w:p w14:paraId="1F3DCFEF">
                <w:pPr>
                  <w:pStyle w:val="64"/>
                  <w:tabs>
                    <w:tab w:val="right" w:leader="dot" w:pos="9070"/>
                  </w:tabs>
                  <w:spacing w:line="312" w:lineRule="auto"/>
                  <w:ind w:left="440"/>
                </w:pPr>
                <w:r>
                  <w:fldChar w:fldCharType="begin"/>
                </w:r>
                <w:r>
                  <w:instrText xml:space="preserve"> HYPERLINK \l "_Toc1280" </w:instrText>
                </w:r>
                <w:r>
                  <w:fldChar w:fldCharType="separate"/>
                </w:r>
                <w:r>
                  <w:rPr>
                    <w:rFonts w:hint="eastAsia" w:eastAsiaTheme="majorEastAsia"/>
                  </w:rPr>
                  <w:t>（二）培养规格</w:t>
                </w:r>
                <w:r>
                  <w:tab/>
                </w:r>
                <w:r>
                  <w:fldChar w:fldCharType="begin"/>
                </w:r>
                <w:r>
                  <w:instrText xml:space="preserve"> PAGEREF _Toc1280 \h </w:instrText>
                </w:r>
                <w:r>
                  <w:fldChar w:fldCharType="separate"/>
                </w:r>
                <w:r>
                  <w:rPr>
                    <w:rFonts w:hint="eastAsia"/>
                    <w:b/>
                    <w:bCs/>
                  </w:rPr>
                  <w:t>错误!未定义书签。</w:t>
                </w:r>
                <w:r>
                  <w:fldChar w:fldCharType="end"/>
                </w:r>
                <w:r>
                  <w:fldChar w:fldCharType="end"/>
                </w:r>
              </w:p>
              <w:p w14:paraId="215ED02E">
                <w:pPr>
                  <w:pStyle w:val="63"/>
                  <w:tabs>
                    <w:tab w:val="right" w:leader="dot" w:pos="9070"/>
                  </w:tabs>
                  <w:spacing w:line="312" w:lineRule="auto"/>
                  <w:rPr>
                    <w:b/>
                  </w:rPr>
                </w:pPr>
                <w:r>
                  <w:fldChar w:fldCharType="begin"/>
                </w:r>
                <w:r>
                  <w:instrText xml:space="preserve"> HYPERLINK \l "_Toc23939" </w:instrText>
                </w:r>
                <w:r>
                  <w:fldChar w:fldCharType="separate"/>
                </w:r>
                <w:r>
                  <w:rPr>
                    <w:b/>
                    <w:bCs/>
                    <w:szCs w:val="28"/>
                  </w:rPr>
                  <w:t>六、课程设置及要求</w:t>
                </w:r>
                <w:r>
                  <w:rPr>
                    <w:b/>
                  </w:rPr>
                  <w:tab/>
                </w:r>
                <w:r>
                  <w:rPr>
                    <w:b/>
                  </w:rPr>
                  <w:fldChar w:fldCharType="begin"/>
                </w:r>
                <w:r>
                  <w:rPr>
                    <w:b/>
                  </w:rPr>
                  <w:instrText xml:space="preserve"> PAGEREF _Toc23939 \h </w:instrText>
                </w:r>
                <w:r>
                  <w:rPr>
                    <w:b/>
                  </w:rPr>
                  <w:fldChar w:fldCharType="separate"/>
                </w:r>
                <w:r>
                  <w:rPr>
                    <w:b/>
                  </w:rPr>
                  <w:t>8</w:t>
                </w:r>
                <w:r>
                  <w:rPr>
                    <w:b/>
                  </w:rPr>
                  <w:fldChar w:fldCharType="end"/>
                </w:r>
                <w:r>
                  <w:rPr>
                    <w:b/>
                  </w:rPr>
                  <w:fldChar w:fldCharType="end"/>
                </w:r>
              </w:p>
              <w:p w14:paraId="4D652BB5">
                <w:pPr>
                  <w:pStyle w:val="64"/>
                  <w:tabs>
                    <w:tab w:val="right" w:leader="dot" w:pos="9070"/>
                  </w:tabs>
                  <w:spacing w:line="312" w:lineRule="auto"/>
                  <w:ind w:left="440"/>
                </w:pPr>
                <w:r>
                  <w:fldChar w:fldCharType="begin"/>
                </w:r>
                <w:r>
                  <w:instrText xml:space="preserve"> HYPERLINK \l "_Toc10581" </w:instrText>
                </w:r>
                <w:r>
                  <w:fldChar w:fldCharType="separate"/>
                </w:r>
                <w:r>
                  <w:rPr>
                    <w:rFonts w:hint="eastAsia" w:eastAsiaTheme="majorEastAsia"/>
                  </w:rPr>
                  <w:t>（一）公共基础课程设置及要求</w:t>
                </w:r>
                <w:r>
                  <w:tab/>
                </w:r>
                <w:r>
                  <w:fldChar w:fldCharType="begin"/>
                </w:r>
                <w:r>
                  <w:instrText xml:space="preserve"> PAGEREF _Toc10581 \h </w:instrText>
                </w:r>
                <w:r>
                  <w:fldChar w:fldCharType="separate"/>
                </w:r>
                <w:r>
                  <w:rPr>
                    <w:rFonts w:hint="eastAsia"/>
                    <w:b/>
                    <w:bCs/>
                  </w:rPr>
                  <w:t>错误!未定义书签。</w:t>
                </w:r>
                <w:r>
                  <w:fldChar w:fldCharType="end"/>
                </w:r>
                <w:r>
                  <w:fldChar w:fldCharType="end"/>
                </w:r>
              </w:p>
              <w:p w14:paraId="3D4AA508">
                <w:pPr>
                  <w:pStyle w:val="64"/>
                  <w:tabs>
                    <w:tab w:val="right" w:leader="dot" w:pos="9070"/>
                  </w:tabs>
                  <w:spacing w:line="312" w:lineRule="auto"/>
                  <w:ind w:left="440"/>
                </w:pPr>
                <w:r>
                  <w:fldChar w:fldCharType="begin"/>
                </w:r>
                <w:r>
                  <w:instrText xml:space="preserve"> HYPERLINK \l "_Toc3712" </w:instrText>
                </w:r>
                <w:r>
                  <w:fldChar w:fldCharType="separate"/>
                </w:r>
                <w:r>
                  <w:rPr>
                    <w:rFonts w:hint="eastAsia" w:eastAsiaTheme="majorEastAsia"/>
                  </w:rPr>
                  <w:t>（二）专业课程</w:t>
                </w:r>
                <w:r>
                  <w:tab/>
                </w:r>
                <w:r>
                  <w:fldChar w:fldCharType="begin"/>
                </w:r>
                <w:r>
                  <w:instrText xml:space="preserve"> PAGEREF _Toc3712 \h </w:instrText>
                </w:r>
                <w:r>
                  <w:fldChar w:fldCharType="separate"/>
                </w:r>
                <w:r>
                  <w:rPr>
                    <w:rFonts w:hint="eastAsia"/>
                    <w:b/>
                    <w:bCs/>
                  </w:rPr>
                  <w:t>错误!未定义书签。</w:t>
                </w:r>
                <w:r>
                  <w:fldChar w:fldCharType="end"/>
                </w:r>
                <w:r>
                  <w:fldChar w:fldCharType="end"/>
                </w:r>
              </w:p>
              <w:p w14:paraId="73A9FB6B">
                <w:pPr>
                  <w:pStyle w:val="64"/>
                  <w:tabs>
                    <w:tab w:val="right" w:leader="dot" w:pos="9070"/>
                  </w:tabs>
                  <w:spacing w:line="312" w:lineRule="auto"/>
                  <w:ind w:left="440"/>
                </w:pPr>
                <w:r>
                  <w:fldChar w:fldCharType="begin"/>
                </w:r>
                <w:r>
                  <w:instrText xml:space="preserve"> HYPERLINK \l "_Toc27404" </w:instrText>
                </w:r>
                <w:r>
                  <w:fldChar w:fldCharType="separate"/>
                </w:r>
                <w:r>
                  <w:rPr>
                    <w:rFonts w:hint="eastAsia" w:eastAsiaTheme="majorEastAsia"/>
                  </w:rPr>
                  <w:t>（三）素质拓展活动或项目</w:t>
                </w:r>
                <w:r>
                  <w:tab/>
                </w:r>
                <w:r>
                  <w:fldChar w:fldCharType="begin"/>
                </w:r>
                <w:r>
                  <w:instrText xml:space="preserve"> PAGEREF _Toc27404 \h </w:instrText>
                </w:r>
                <w:r>
                  <w:fldChar w:fldCharType="separate"/>
                </w:r>
                <w:r>
                  <w:rPr>
                    <w:rFonts w:hint="eastAsia"/>
                    <w:b/>
                    <w:bCs/>
                  </w:rPr>
                  <w:t>错误!未定义书签。</w:t>
                </w:r>
                <w:r>
                  <w:fldChar w:fldCharType="end"/>
                </w:r>
                <w:r>
                  <w:fldChar w:fldCharType="end"/>
                </w:r>
              </w:p>
              <w:p w14:paraId="5B1F3E11">
                <w:pPr>
                  <w:pStyle w:val="64"/>
                  <w:tabs>
                    <w:tab w:val="right" w:leader="dot" w:pos="9070"/>
                  </w:tabs>
                  <w:spacing w:line="312" w:lineRule="auto"/>
                  <w:ind w:left="440"/>
                </w:pPr>
                <w:r>
                  <w:fldChar w:fldCharType="begin"/>
                </w:r>
                <w:r>
                  <w:instrText xml:space="preserve"> HYPERLINK \l "_Toc16238" </w:instrText>
                </w:r>
                <w:r>
                  <w:fldChar w:fldCharType="separate"/>
                </w:r>
                <w:r>
                  <w:rPr>
                    <w:rFonts w:hint="eastAsia" w:eastAsiaTheme="majorEastAsia"/>
                  </w:rPr>
                  <w:t>（四）专业实习实训项目</w:t>
                </w:r>
                <w:r>
                  <w:tab/>
                </w:r>
                <w:r>
                  <w:fldChar w:fldCharType="begin"/>
                </w:r>
                <w:r>
                  <w:instrText xml:space="preserve"> PAGEREF _Toc16238 \h </w:instrText>
                </w:r>
                <w:r>
                  <w:fldChar w:fldCharType="separate"/>
                </w:r>
                <w:r>
                  <w:rPr>
                    <w:rFonts w:hint="eastAsia"/>
                    <w:b/>
                    <w:bCs/>
                  </w:rPr>
                  <w:t>错误!未定义书签。</w:t>
                </w:r>
                <w:r>
                  <w:fldChar w:fldCharType="end"/>
                </w:r>
                <w:r>
                  <w:fldChar w:fldCharType="end"/>
                </w:r>
              </w:p>
              <w:p w14:paraId="589CF84D">
                <w:pPr>
                  <w:pStyle w:val="63"/>
                  <w:tabs>
                    <w:tab w:val="right" w:leader="dot" w:pos="9070"/>
                  </w:tabs>
                  <w:spacing w:line="312" w:lineRule="auto"/>
                  <w:rPr>
                    <w:b/>
                  </w:rPr>
                </w:pPr>
                <w:r>
                  <w:fldChar w:fldCharType="begin"/>
                </w:r>
                <w:r>
                  <w:instrText xml:space="preserve"> HYPERLINK \l "_Toc6564" </w:instrText>
                </w:r>
                <w:r>
                  <w:fldChar w:fldCharType="separate"/>
                </w:r>
                <w:r>
                  <w:rPr>
                    <w:rFonts w:hint="eastAsia"/>
                    <w:b/>
                    <w:bCs/>
                    <w:szCs w:val="28"/>
                  </w:rPr>
                  <w:t>七、</w:t>
                </w:r>
                <w:r>
                  <w:rPr>
                    <w:b/>
                    <w:bCs/>
                    <w:szCs w:val="28"/>
                  </w:rPr>
                  <w:t>教学进程总体安排</w:t>
                </w:r>
                <w:r>
                  <w:rPr>
                    <w:b/>
                  </w:rPr>
                  <w:tab/>
                </w:r>
                <w:r>
                  <w:rPr>
                    <w:b/>
                  </w:rPr>
                  <w:fldChar w:fldCharType="begin"/>
                </w:r>
                <w:r>
                  <w:rPr>
                    <w:b/>
                  </w:rPr>
                  <w:instrText xml:space="preserve"> PAGEREF _Toc6564 \h </w:instrText>
                </w:r>
                <w:r>
                  <w:rPr>
                    <w:b/>
                  </w:rPr>
                  <w:fldChar w:fldCharType="separate"/>
                </w:r>
                <w:r>
                  <w:rPr>
                    <w:rFonts w:hint="eastAsia"/>
                    <w:bCs/>
                  </w:rPr>
                  <w:t>错误!未定义书签。</w:t>
                </w:r>
                <w:r>
                  <w:rPr>
                    <w:b/>
                  </w:rPr>
                  <w:fldChar w:fldCharType="end"/>
                </w:r>
                <w:r>
                  <w:rPr>
                    <w:b/>
                  </w:rPr>
                  <w:fldChar w:fldCharType="end"/>
                </w:r>
              </w:p>
              <w:p w14:paraId="18EE91EB">
                <w:pPr>
                  <w:pStyle w:val="64"/>
                  <w:tabs>
                    <w:tab w:val="right" w:leader="dot" w:pos="9070"/>
                  </w:tabs>
                  <w:spacing w:line="312" w:lineRule="auto"/>
                  <w:ind w:left="440"/>
                </w:pPr>
                <w:r>
                  <w:fldChar w:fldCharType="begin"/>
                </w:r>
                <w:r>
                  <w:instrText xml:space="preserve"> HYPERLINK \l "_Toc1181" </w:instrText>
                </w:r>
                <w:r>
                  <w:fldChar w:fldCharType="separate"/>
                </w:r>
                <w:r>
                  <w:rPr>
                    <w:rFonts w:hint="eastAsia" w:eastAsiaTheme="majorEastAsia"/>
                  </w:rPr>
                  <w:t>（一）全学程教学历程</w:t>
                </w:r>
                <w:r>
                  <w:tab/>
                </w:r>
                <w:r>
                  <w:fldChar w:fldCharType="begin"/>
                </w:r>
                <w:r>
                  <w:instrText xml:space="preserve"> PAGEREF _Toc1181 \h </w:instrText>
                </w:r>
                <w:r>
                  <w:fldChar w:fldCharType="separate"/>
                </w:r>
                <w:r>
                  <w:rPr>
                    <w:rFonts w:hint="eastAsia"/>
                    <w:b/>
                    <w:bCs/>
                  </w:rPr>
                  <w:t>错误!未定义书签。</w:t>
                </w:r>
                <w:r>
                  <w:fldChar w:fldCharType="end"/>
                </w:r>
                <w:r>
                  <w:fldChar w:fldCharType="end"/>
                </w:r>
              </w:p>
              <w:p w14:paraId="1360A616">
                <w:pPr>
                  <w:pStyle w:val="64"/>
                  <w:tabs>
                    <w:tab w:val="right" w:leader="dot" w:pos="9070"/>
                  </w:tabs>
                  <w:spacing w:line="312" w:lineRule="auto"/>
                  <w:ind w:left="440"/>
                </w:pPr>
                <w:r>
                  <w:fldChar w:fldCharType="begin"/>
                </w:r>
                <w:r>
                  <w:instrText xml:space="preserve"> HYPERLINK \l "_Toc6097" </w:instrText>
                </w:r>
                <w:r>
                  <w:fldChar w:fldCharType="separate"/>
                </w:r>
                <w:r>
                  <w:rPr>
                    <w:rFonts w:hint="eastAsia" w:eastAsiaTheme="majorEastAsia"/>
                  </w:rPr>
                  <w:t>（二）公共课、专业课设置及学时分配</w:t>
                </w:r>
                <w:r>
                  <w:tab/>
                </w:r>
                <w:r>
                  <w:fldChar w:fldCharType="begin"/>
                </w:r>
                <w:r>
                  <w:instrText xml:space="preserve"> PAGEREF _Toc6097 \h </w:instrText>
                </w:r>
                <w:r>
                  <w:fldChar w:fldCharType="separate"/>
                </w:r>
                <w:r>
                  <w:rPr>
                    <w:rFonts w:hint="eastAsia"/>
                    <w:b/>
                    <w:bCs/>
                  </w:rPr>
                  <w:t>错误!未定义书签。</w:t>
                </w:r>
                <w:r>
                  <w:fldChar w:fldCharType="end"/>
                </w:r>
                <w:r>
                  <w:fldChar w:fldCharType="end"/>
                </w:r>
              </w:p>
              <w:p w14:paraId="7DD058EE">
                <w:pPr>
                  <w:pStyle w:val="64"/>
                  <w:tabs>
                    <w:tab w:val="right" w:leader="dot" w:pos="9070"/>
                  </w:tabs>
                  <w:spacing w:line="312" w:lineRule="auto"/>
                  <w:ind w:left="440"/>
                </w:pPr>
                <w:r>
                  <w:fldChar w:fldCharType="begin"/>
                </w:r>
                <w:r>
                  <w:instrText xml:space="preserve"> HYPERLINK \l "_Toc24332" </w:instrText>
                </w:r>
                <w:r>
                  <w:fldChar w:fldCharType="separate"/>
                </w:r>
                <w:r>
                  <w:rPr>
                    <w:rFonts w:hint="eastAsia" w:eastAsiaTheme="majorEastAsia"/>
                  </w:rPr>
                  <w:t>（三）理论课、实践课设置及学时分配</w:t>
                </w:r>
                <w:r>
                  <w:tab/>
                </w:r>
                <w:r>
                  <w:fldChar w:fldCharType="begin"/>
                </w:r>
                <w:r>
                  <w:instrText xml:space="preserve"> PAGEREF _Toc24332 \h </w:instrText>
                </w:r>
                <w:r>
                  <w:fldChar w:fldCharType="separate"/>
                </w:r>
                <w:r>
                  <w:rPr>
                    <w:rFonts w:hint="eastAsia"/>
                    <w:b/>
                    <w:bCs/>
                  </w:rPr>
                  <w:t>错误!未定义书签。</w:t>
                </w:r>
                <w:r>
                  <w:fldChar w:fldCharType="end"/>
                </w:r>
                <w:r>
                  <w:fldChar w:fldCharType="end"/>
                </w:r>
              </w:p>
              <w:p w14:paraId="3CF0927B">
                <w:pPr>
                  <w:pStyle w:val="63"/>
                  <w:tabs>
                    <w:tab w:val="right" w:leader="dot" w:pos="9070"/>
                  </w:tabs>
                  <w:spacing w:line="312" w:lineRule="auto"/>
                  <w:rPr>
                    <w:b/>
                  </w:rPr>
                </w:pPr>
                <w:r>
                  <w:fldChar w:fldCharType="begin"/>
                </w:r>
                <w:r>
                  <w:instrText xml:space="preserve"> HYPERLINK \l "_Toc20294" </w:instrText>
                </w:r>
                <w:r>
                  <w:fldChar w:fldCharType="separate"/>
                </w:r>
                <w:r>
                  <w:rPr>
                    <w:rFonts w:hint="eastAsia"/>
                    <w:b/>
                    <w:bCs/>
                    <w:szCs w:val="28"/>
                  </w:rPr>
                  <w:t>八、</w:t>
                </w:r>
                <w:r>
                  <w:rPr>
                    <w:b/>
                    <w:bCs/>
                    <w:szCs w:val="28"/>
                  </w:rPr>
                  <w:t>实施保障</w:t>
                </w:r>
                <w:r>
                  <w:rPr>
                    <w:b/>
                  </w:rPr>
                  <w:tab/>
                </w:r>
                <w:r>
                  <w:rPr>
                    <w:b/>
                  </w:rPr>
                  <w:fldChar w:fldCharType="begin"/>
                </w:r>
                <w:r>
                  <w:rPr>
                    <w:b/>
                  </w:rPr>
                  <w:instrText xml:space="preserve"> PAGEREF _Toc20294 \h </w:instrText>
                </w:r>
                <w:r>
                  <w:rPr>
                    <w:b/>
                  </w:rPr>
                  <w:fldChar w:fldCharType="separate"/>
                </w:r>
                <w:r>
                  <w:rPr>
                    <w:b/>
                  </w:rPr>
                  <w:t>18</w:t>
                </w:r>
                <w:r>
                  <w:rPr>
                    <w:b/>
                  </w:rPr>
                  <w:fldChar w:fldCharType="end"/>
                </w:r>
                <w:r>
                  <w:rPr>
                    <w:b/>
                  </w:rPr>
                  <w:fldChar w:fldCharType="end"/>
                </w:r>
              </w:p>
              <w:p w14:paraId="74304170">
                <w:pPr>
                  <w:pStyle w:val="64"/>
                  <w:tabs>
                    <w:tab w:val="right" w:leader="dot" w:pos="9070"/>
                  </w:tabs>
                  <w:spacing w:line="312" w:lineRule="auto"/>
                  <w:ind w:left="440"/>
                </w:pPr>
                <w:r>
                  <w:fldChar w:fldCharType="begin"/>
                </w:r>
                <w:r>
                  <w:instrText xml:space="preserve"> HYPERLINK \l "_Toc5003" </w:instrText>
                </w:r>
                <w:r>
                  <w:fldChar w:fldCharType="separate"/>
                </w:r>
                <w:r>
                  <w:rPr>
                    <w:rFonts w:hint="eastAsia" w:eastAsiaTheme="majorEastAsia"/>
                  </w:rPr>
                  <w:t>（一）师资队伍</w:t>
                </w:r>
                <w:r>
                  <w:tab/>
                </w:r>
                <w:r>
                  <w:fldChar w:fldCharType="begin"/>
                </w:r>
                <w:r>
                  <w:instrText xml:space="preserve"> PAGEREF _Toc5003 \h </w:instrText>
                </w:r>
                <w:r>
                  <w:fldChar w:fldCharType="separate"/>
                </w:r>
                <w:r>
                  <w:t>19</w:t>
                </w:r>
                <w:r>
                  <w:fldChar w:fldCharType="end"/>
                </w:r>
                <w:r>
                  <w:fldChar w:fldCharType="end"/>
                </w:r>
              </w:p>
              <w:p w14:paraId="7A4B4DD6">
                <w:pPr>
                  <w:pStyle w:val="64"/>
                  <w:tabs>
                    <w:tab w:val="right" w:leader="dot" w:pos="9070"/>
                  </w:tabs>
                  <w:spacing w:line="312" w:lineRule="auto"/>
                  <w:ind w:left="440"/>
                </w:pPr>
                <w:r>
                  <w:fldChar w:fldCharType="begin"/>
                </w:r>
                <w:r>
                  <w:instrText xml:space="preserve"> HYPERLINK \l "_Toc5077" </w:instrText>
                </w:r>
                <w:r>
                  <w:fldChar w:fldCharType="separate"/>
                </w:r>
                <w:r>
                  <w:rPr>
                    <w:rFonts w:hint="eastAsia" w:eastAsiaTheme="majorEastAsia"/>
                    <w:lang w:val="zh-CN"/>
                  </w:rPr>
                  <w:t>（二）教学设施</w:t>
                </w:r>
                <w:r>
                  <w:tab/>
                </w:r>
                <w:r>
                  <w:fldChar w:fldCharType="begin"/>
                </w:r>
                <w:r>
                  <w:instrText xml:space="preserve"> PAGEREF _Toc5077 \h </w:instrText>
                </w:r>
                <w:r>
                  <w:fldChar w:fldCharType="separate"/>
                </w:r>
                <w:r>
                  <w:t>21</w:t>
                </w:r>
                <w:r>
                  <w:fldChar w:fldCharType="end"/>
                </w:r>
                <w:r>
                  <w:fldChar w:fldCharType="end"/>
                </w:r>
              </w:p>
              <w:p w14:paraId="35F5F72A">
                <w:pPr>
                  <w:pStyle w:val="64"/>
                  <w:tabs>
                    <w:tab w:val="right" w:leader="dot" w:pos="9070"/>
                  </w:tabs>
                  <w:spacing w:line="312" w:lineRule="auto"/>
                  <w:ind w:left="440"/>
                </w:pPr>
                <w:r>
                  <w:fldChar w:fldCharType="begin"/>
                </w:r>
                <w:r>
                  <w:instrText xml:space="preserve"> HYPERLINK \l "_Toc18394" </w:instrText>
                </w:r>
                <w:r>
                  <w:fldChar w:fldCharType="separate"/>
                </w:r>
                <w:r>
                  <w:rPr>
                    <w:rFonts w:hint="eastAsia" w:eastAsiaTheme="majorEastAsia"/>
                  </w:rPr>
                  <w:t>（三）教学资源</w:t>
                </w:r>
                <w:r>
                  <w:tab/>
                </w:r>
                <w:r>
                  <w:fldChar w:fldCharType="begin"/>
                </w:r>
                <w:r>
                  <w:instrText xml:space="preserve"> PAGEREF _Toc18394 \h </w:instrText>
                </w:r>
                <w:r>
                  <w:fldChar w:fldCharType="separate"/>
                </w:r>
                <w:r>
                  <w:t>23</w:t>
                </w:r>
                <w:r>
                  <w:fldChar w:fldCharType="end"/>
                </w:r>
                <w:r>
                  <w:fldChar w:fldCharType="end"/>
                </w:r>
              </w:p>
              <w:p w14:paraId="3817D9CE">
                <w:pPr>
                  <w:pStyle w:val="64"/>
                  <w:tabs>
                    <w:tab w:val="right" w:leader="dot" w:pos="9070"/>
                  </w:tabs>
                  <w:spacing w:line="312" w:lineRule="auto"/>
                  <w:ind w:left="440"/>
                </w:pPr>
                <w:r>
                  <w:fldChar w:fldCharType="begin"/>
                </w:r>
                <w:r>
                  <w:instrText xml:space="preserve"> HYPERLINK \l "_Toc30862" </w:instrText>
                </w:r>
                <w:r>
                  <w:fldChar w:fldCharType="separate"/>
                </w:r>
                <w:r>
                  <w:rPr>
                    <w:rFonts w:hint="eastAsia" w:eastAsiaTheme="majorEastAsia"/>
                  </w:rPr>
                  <w:t>（四）教学方法</w:t>
                </w:r>
                <w:r>
                  <w:tab/>
                </w:r>
                <w:r>
                  <w:fldChar w:fldCharType="begin"/>
                </w:r>
                <w:r>
                  <w:instrText xml:space="preserve"> PAGEREF _Toc30862 \h </w:instrText>
                </w:r>
                <w:r>
                  <w:fldChar w:fldCharType="separate"/>
                </w:r>
                <w:r>
                  <w:t>25</w:t>
                </w:r>
                <w:r>
                  <w:fldChar w:fldCharType="end"/>
                </w:r>
                <w:r>
                  <w:fldChar w:fldCharType="end"/>
                </w:r>
              </w:p>
              <w:p w14:paraId="060B7B9F">
                <w:pPr>
                  <w:pStyle w:val="64"/>
                  <w:tabs>
                    <w:tab w:val="right" w:leader="dot" w:pos="9070"/>
                  </w:tabs>
                  <w:spacing w:line="312" w:lineRule="auto"/>
                  <w:ind w:left="440"/>
                </w:pPr>
                <w:r>
                  <w:fldChar w:fldCharType="begin"/>
                </w:r>
                <w:r>
                  <w:instrText xml:space="preserve"> HYPERLINK \l "_Toc32215" </w:instrText>
                </w:r>
                <w:r>
                  <w:fldChar w:fldCharType="separate"/>
                </w:r>
                <w:r>
                  <w:rPr>
                    <w:rFonts w:hint="eastAsia" w:eastAsiaTheme="majorEastAsia"/>
                  </w:rPr>
                  <w:t>（五）学习评价</w:t>
                </w:r>
                <w:r>
                  <w:tab/>
                </w:r>
                <w:r>
                  <w:fldChar w:fldCharType="begin"/>
                </w:r>
                <w:r>
                  <w:instrText xml:space="preserve"> PAGEREF _Toc32215 \h </w:instrText>
                </w:r>
                <w:r>
                  <w:fldChar w:fldCharType="separate"/>
                </w:r>
                <w:r>
                  <w:t>28</w:t>
                </w:r>
                <w:r>
                  <w:fldChar w:fldCharType="end"/>
                </w:r>
                <w:r>
                  <w:fldChar w:fldCharType="end"/>
                </w:r>
              </w:p>
              <w:p w14:paraId="019236B1">
                <w:pPr>
                  <w:pStyle w:val="64"/>
                  <w:tabs>
                    <w:tab w:val="right" w:leader="dot" w:pos="9070"/>
                  </w:tabs>
                  <w:spacing w:line="312" w:lineRule="auto"/>
                  <w:ind w:left="440"/>
                </w:pPr>
                <w:r>
                  <w:fldChar w:fldCharType="begin"/>
                </w:r>
                <w:r>
                  <w:instrText xml:space="preserve"> HYPERLINK \l "_Toc28351" </w:instrText>
                </w:r>
                <w:r>
                  <w:fldChar w:fldCharType="separate"/>
                </w:r>
                <w:r>
                  <w:rPr>
                    <w:rFonts w:hint="eastAsia" w:eastAsiaTheme="majorEastAsia"/>
                  </w:rPr>
                  <w:t>（六）质量管理</w:t>
                </w:r>
                <w:r>
                  <w:tab/>
                </w:r>
                <w:r>
                  <w:fldChar w:fldCharType="begin"/>
                </w:r>
                <w:r>
                  <w:instrText xml:space="preserve"> PAGEREF _Toc28351 \h </w:instrText>
                </w:r>
                <w:r>
                  <w:fldChar w:fldCharType="separate"/>
                </w:r>
                <w:r>
                  <w:t>31</w:t>
                </w:r>
                <w:r>
                  <w:fldChar w:fldCharType="end"/>
                </w:r>
                <w:r>
                  <w:fldChar w:fldCharType="end"/>
                </w:r>
              </w:p>
              <w:p w14:paraId="6148D30E">
                <w:pPr>
                  <w:pStyle w:val="63"/>
                  <w:tabs>
                    <w:tab w:val="right" w:leader="dot" w:pos="9070"/>
                  </w:tabs>
                  <w:spacing w:line="312" w:lineRule="auto"/>
                  <w:rPr>
                    <w:b/>
                  </w:rPr>
                </w:pPr>
                <w:r>
                  <w:fldChar w:fldCharType="begin"/>
                </w:r>
                <w:r>
                  <w:instrText xml:space="preserve"> HYPERLINK \l "_Toc1267" </w:instrText>
                </w:r>
                <w:r>
                  <w:fldChar w:fldCharType="separate"/>
                </w:r>
                <w:r>
                  <w:rPr>
                    <w:rFonts w:hint="eastAsia"/>
                    <w:b/>
                    <w:bCs/>
                    <w:szCs w:val="28"/>
                  </w:rPr>
                  <w:t>九、</w:t>
                </w:r>
                <w:r>
                  <w:rPr>
                    <w:b/>
                    <w:bCs/>
                    <w:szCs w:val="28"/>
                  </w:rPr>
                  <w:t>毕业要求</w:t>
                </w:r>
                <w:r>
                  <w:rPr>
                    <w:b/>
                  </w:rPr>
                  <w:tab/>
                </w:r>
                <w:r>
                  <w:rPr>
                    <w:b/>
                  </w:rPr>
                  <w:fldChar w:fldCharType="begin"/>
                </w:r>
                <w:r>
                  <w:rPr>
                    <w:b/>
                  </w:rPr>
                  <w:instrText xml:space="preserve"> PAGEREF _Toc1267 \h </w:instrText>
                </w:r>
                <w:r>
                  <w:rPr>
                    <w:b/>
                  </w:rPr>
                  <w:fldChar w:fldCharType="separate"/>
                </w:r>
                <w:r>
                  <w:rPr>
                    <w:b/>
                  </w:rPr>
                  <w:t>32</w:t>
                </w:r>
                <w:r>
                  <w:rPr>
                    <w:b/>
                  </w:rPr>
                  <w:fldChar w:fldCharType="end"/>
                </w:r>
                <w:r>
                  <w:rPr>
                    <w:b/>
                  </w:rPr>
                  <w:fldChar w:fldCharType="end"/>
                </w:r>
              </w:p>
              <w:p w14:paraId="41D5A71D">
                <w:pPr>
                  <w:pStyle w:val="63"/>
                  <w:tabs>
                    <w:tab w:val="right" w:leader="dot" w:pos="9070"/>
                  </w:tabs>
                  <w:spacing w:line="312" w:lineRule="auto"/>
                  <w:rPr>
                    <w:b/>
                  </w:rPr>
                </w:pPr>
                <w:r>
                  <w:fldChar w:fldCharType="begin"/>
                </w:r>
                <w:r>
                  <w:instrText xml:space="preserve"> HYPERLINK \l "_Toc5601" </w:instrText>
                </w:r>
                <w:r>
                  <w:fldChar w:fldCharType="separate"/>
                </w:r>
                <w:r>
                  <w:rPr>
                    <w:b/>
                    <w:bCs/>
                    <w:szCs w:val="28"/>
                  </w:rPr>
                  <w:t>十、附录</w:t>
                </w:r>
                <w:r>
                  <w:rPr>
                    <w:b/>
                  </w:rPr>
                  <w:tab/>
                </w:r>
                <w:r>
                  <w:rPr>
                    <w:b/>
                  </w:rPr>
                  <w:fldChar w:fldCharType="begin"/>
                </w:r>
                <w:r>
                  <w:rPr>
                    <w:b/>
                  </w:rPr>
                  <w:instrText xml:space="preserve"> PAGEREF _Toc5601 \h </w:instrText>
                </w:r>
                <w:r>
                  <w:rPr>
                    <w:b/>
                  </w:rPr>
                  <w:fldChar w:fldCharType="separate"/>
                </w:r>
                <w:r>
                  <w:rPr>
                    <w:b/>
                  </w:rPr>
                  <w:t>34</w:t>
                </w:r>
                <w:r>
                  <w:rPr>
                    <w:b/>
                  </w:rPr>
                  <w:fldChar w:fldCharType="end"/>
                </w:r>
                <w:r>
                  <w:rPr>
                    <w:b/>
                  </w:rPr>
                  <w:fldChar w:fldCharType="end"/>
                </w:r>
              </w:p>
              <w:p w14:paraId="3C78DF79">
                <w:pPr>
                  <w:pStyle w:val="63"/>
                  <w:tabs>
                    <w:tab w:val="right" w:leader="dot" w:pos="9070"/>
                  </w:tabs>
                  <w:spacing w:line="312" w:lineRule="auto"/>
                  <w:rPr>
                    <w:b/>
                  </w:rPr>
                </w:pPr>
                <w:r>
                  <w:fldChar w:fldCharType="begin"/>
                </w:r>
                <w:r>
                  <w:instrText xml:space="preserve"> HYPERLINK \l "_Toc7115" </w:instrText>
                </w:r>
                <w:r>
                  <w:fldChar w:fldCharType="separate"/>
                </w:r>
                <w:r>
                  <w:rPr>
                    <w:rFonts w:hint="eastAsia" w:ascii="宋体" w:hAnsi="宋体" w:cs="宋体" w:eastAsiaTheme="majorEastAsia"/>
                    <w:b/>
                    <w:bCs/>
                    <w:szCs w:val="21"/>
                    <w:lang w:bidi="zh-CN"/>
                  </w:rPr>
                  <w:t>附件1：会计信息管理</w:t>
                </w:r>
                <w:r>
                  <w:rPr>
                    <w:rFonts w:hint="eastAsia" w:ascii="宋体" w:hAnsi="宋体" w:cs="宋体" w:eastAsiaTheme="majorEastAsia"/>
                    <w:b/>
                    <w:bCs/>
                    <w:szCs w:val="21"/>
                    <w:lang w:val="zh-CN" w:bidi="zh-CN"/>
                  </w:rPr>
                  <w:t>专业</w:t>
                </w:r>
                <w:r>
                  <w:rPr>
                    <w:rFonts w:hint="eastAsia" w:ascii="宋体" w:hAnsi="宋体" w:cs="宋体" w:eastAsiaTheme="majorEastAsia"/>
                    <w:b/>
                    <w:bCs/>
                    <w:szCs w:val="21"/>
                    <w:lang w:bidi="zh-CN"/>
                  </w:rPr>
                  <w:t>3+2中高职贯通</w:t>
                </w:r>
                <w:r>
                  <w:rPr>
                    <w:rFonts w:hint="eastAsia" w:ascii="宋体" w:hAnsi="宋体" w:cs="宋体" w:eastAsiaTheme="majorEastAsia"/>
                    <w:b/>
                    <w:bCs/>
                    <w:szCs w:val="21"/>
                    <w:lang w:val="zh-CN" w:bidi="zh-CN"/>
                  </w:rPr>
                  <w:t>教学进程安排表</w:t>
                </w:r>
                <w:r>
                  <w:rPr>
                    <w:b/>
                  </w:rPr>
                  <w:tab/>
                </w:r>
                <w:r>
                  <w:rPr>
                    <w:b/>
                  </w:rPr>
                  <w:fldChar w:fldCharType="begin"/>
                </w:r>
                <w:r>
                  <w:rPr>
                    <w:b/>
                  </w:rPr>
                  <w:instrText xml:space="preserve"> PAGEREF _Toc7115 \h </w:instrText>
                </w:r>
                <w:r>
                  <w:rPr>
                    <w:b/>
                  </w:rPr>
                  <w:fldChar w:fldCharType="separate"/>
                </w:r>
                <w:r>
                  <w:rPr>
                    <w:b/>
                  </w:rPr>
                  <w:t>34</w:t>
                </w:r>
                <w:r>
                  <w:rPr>
                    <w:b/>
                  </w:rPr>
                  <w:fldChar w:fldCharType="end"/>
                </w:r>
                <w:r>
                  <w:rPr>
                    <w:b/>
                  </w:rPr>
                  <w:fldChar w:fldCharType="end"/>
                </w:r>
              </w:p>
              <w:p w14:paraId="0421F9EE">
                <w:pPr>
                  <w:spacing w:line="312" w:lineRule="auto"/>
                </w:pPr>
                <w:r>
                  <w:rPr>
                    <w:b/>
                  </w:rPr>
                  <w:fldChar w:fldCharType="end"/>
                </w:r>
              </w:p>
            </w:sdtContent>
          </w:sdt>
        </w:tc>
      </w:tr>
    </w:tbl>
    <w:p w14:paraId="43F55427">
      <w:pPr>
        <w:spacing w:before="312" w:beforeLines="100" w:after="312" w:afterLines="100" w:line="240" w:lineRule="auto"/>
        <w:ind w:firstLine="723" w:firstLineChars="200"/>
        <w:jc w:val="center"/>
        <w:outlineLvl w:val="0"/>
        <w:rPr>
          <w:rFonts w:ascii="黑体" w:hAnsi="黑体" w:eastAsia="黑体"/>
          <w:b/>
          <w:sz w:val="36"/>
          <w:szCs w:val="36"/>
        </w:rPr>
        <w:sectPr>
          <w:footerReference r:id="rId5" w:type="default"/>
          <w:pgSz w:w="11906" w:h="16838"/>
          <w:pgMar w:top="1440" w:right="1418" w:bottom="1440" w:left="1418" w:header="851" w:footer="992" w:gutter="0"/>
          <w:cols w:space="425" w:num="1"/>
          <w:docGrid w:type="lines" w:linePitch="312" w:charSpace="0"/>
        </w:sectPr>
      </w:pPr>
      <w:bookmarkStart w:id="2" w:name="_Toc24423"/>
    </w:p>
    <w:bookmarkEnd w:id="0"/>
    <w:bookmarkEnd w:id="1"/>
    <w:bookmarkEnd w:id="2"/>
    <w:p w14:paraId="35AA3868">
      <w:pPr>
        <w:widowControl w:val="0"/>
        <w:spacing w:after="0" w:line="240" w:lineRule="auto"/>
        <w:jc w:val="center"/>
        <w:rPr>
          <w:rFonts w:cs="黑体" w:asciiTheme="minorEastAsia" w:hAnsiTheme="minorEastAsia" w:eastAsiaTheme="minorEastAsia"/>
          <w:b/>
          <w:bCs/>
          <w:sz w:val="28"/>
          <w:szCs w:val="28"/>
        </w:rPr>
      </w:pPr>
      <w:bookmarkStart w:id="3" w:name="_Toc605"/>
      <w:bookmarkStart w:id="4" w:name="_Toc25057"/>
      <w:bookmarkStart w:id="5" w:name="_Toc24327"/>
      <w:bookmarkStart w:id="6" w:name="_Toc13065"/>
      <w:bookmarkStart w:id="7" w:name="_Toc77884741"/>
      <w:bookmarkStart w:id="8" w:name="_Toc77884943"/>
      <w:r>
        <w:rPr>
          <w:rFonts w:hint="eastAsia" w:ascii="黑体" w:hAnsi="黑体" w:eastAsia="黑体" w:cs="Times New Roman"/>
          <w:b/>
          <w:sz w:val="36"/>
          <w:szCs w:val="36"/>
        </w:rPr>
        <w:t>《会计信息管理》</w:t>
      </w:r>
      <w:bookmarkStart w:id="9" w:name="_Toc9602"/>
      <w:bookmarkStart w:id="10" w:name="_Toc9988"/>
      <w:r>
        <w:rPr>
          <w:rFonts w:hint="eastAsia" w:ascii="黑体" w:hAnsi="黑体" w:eastAsia="黑体" w:cs="Times New Roman"/>
          <w:b/>
          <w:sz w:val="36"/>
          <w:szCs w:val="36"/>
        </w:rPr>
        <w:t>“3+2”中高职贯通人才培养方案</w:t>
      </w:r>
      <w:bookmarkEnd w:id="9"/>
      <w:bookmarkEnd w:id="10"/>
    </w:p>
    <w:p w14:paraId="5E42B842">
      <w:pPr>
        <w:pStyle w:val="2"/>
        <w:keepNext/>
        <w:keepLines/>
        <w:widowControl w:val="0"/>
        <w:spacing w:before="0" w:line="360" w:lineRule="auto"/>
        <w:ind w:firstLine="562" w:firstLineChars="200"/>
        <w:contextualSpacing w:val="0"/>
        <w:jc w:val="both"/>
        <w:rPr>
          <w:rFonts w:asciiTheme="minorEastAsia" w:hAnsiTheme="minorEastAsia" w:eastAsiaTheme="minorEastAsia" w:cstheme="minorEastAsia"/>
          <w:bCs/>
          <w:smallCaps w:val="0"/>
          <w:spacing w:val="0"/>
          <w:kern w:val="44"/>
          <w:szCs w:val="28"/>
        </w:rPr>
      </w:pPr>
      <w:r>
        <w:rPr>
          <w:rFonts w:hint="eastAsia" w:asciiTheme="minorEastAsia" w:hAnsiTheme="minorEastAsia" w:eastAsiaTheme="minorEastAsia" w:cstheme="minorEastAsia"/>
          <w:bCs/>
          <w:smallCaps w:val="0"/>
          <w:spacing w:val="0"/>
          <w:kern w:val="44"/>
          <w:szCs w:val="28"/>
        </w:rPr>
        <w:t>一、专业名称及代码</w:t>
      </w:r>
      <w:bookmarkEnd w:id="3"/>
      <w:bookmarkEnd w:id="4"/>
      <w:bookmarkEnd w:id="5"/>
      <w:bookmarkEnd w:id="6"/>
      <w:bookmarkEnd w:id="7"/>
      <w:bookmarkEnd w:id="8"/>
    </w:p>
    <w:p w14:paraId="40A3AAF2">
      <w:pPr>
        <w:spacing w:line="360" w:lineRule="auto"/>
        <w:ind w:firstLine="480" w:firstLineChars="200"/>
        <w:rPr>
          <w:rFonts w:ascii="宋体" w:hAnsi="宋体" w:eastAsia="宋体" w:cs="Times New Roman"/>
          <w:sz w:val="24"/>
          <w:szCs w:val="24"/>
        </w:rPr>
      </w:pPr>
      <w:bookmarkStart w:id="11" w:name="_Toc22507"/>
      <w:r>
        <w:rPr>
          <w:rFonts w:hint="eastAsia" w:ascii="宋体" w:hAnsi="宋体" w:eastAsia="宋体" w:cs="Times New Roman"/>
          <w:sz w:val="24"/>
          <w:szCs w:val="24"/>
        </w:rPr>
        <w:t>中职专业名称：会计事务                   专业代码：</w:t>
      </w:r>
      <w:bookmarkStart w:id="12" w:name="_Hlk169289648"/>
      <w:r>
        <w:rPr>
          <w:rFonts w:hint="eastAsia" w:ascii="宋体" w:hAnsi="宋体" w:eastAsia="宋体" w:cs="Times New Roman"/>
          <w:sz w:val="24"/>
          <w:szCs w:val="24"/>
        </w:rPr>
        <w:t>730301</w:t>
      </w:r>
      <w:bookmarkEnd w:id="12"/>
    </w:p>
    <w:p w14:paraId="61E1E020">
      <w:pPr>
        <w:spacing w:line="360" w:lineRule="auto"/>
        <w:ind w:firstLine="480" w:firstLineChars="200"/>
        <w:rPr>
          <w:rFonts w:ascii="宋体" w:eastAsia="宋体"/>
          <w:sz w:val="24"/>
          <w:szCs w:val="24"/>
        </w:rPr>
      </w:pPr>
      <w:r>
        <w:rPr>
          <w:rFonts w:hint="eastAsia" w:ascii="宋体" w:hAnsi="宋体" w:eastAsia="宋体" w:cs="Times New Roman"/>
          <w:sz w:val="24"/>
          <w:szCs w:val="24"/>
        </w:rPr>
        <w:t xml:space="preserve">高职专业名称：会计信息管理               </w:t>
      </w:r>
      <w:r>
        <w:rPr>
          <w:rFonts w:hint="eastAsia" w:ascii="宋体"/>
          <w:sz w:val="24"/>
          <w:szCs w:val="24"/>
        </w:rPr>
        <w:t>专业代码：530304</w:t>
      </w:r>
    </w:p>
    <w:bookmarkEnd w:id="11"/>
    <w:p w14:paraId="31602024">
      <w:pPr>
        <w:pStyle w:val="2"/>
        <w:keepNext/>
        <w:keepLines/>
        <w:widowControl w:val="0"/>
        <w:spacing w:before="0" w:line="360" w:lineRule="auto"/>
        <w:ind w:firstLine="562" w:firstLineChars="200"/>
        <w:contextualSpacing w:val="0"/>
        <w:jc w:val="both"/>
        <w:rPr>
          <w:rFonts w:asciiTheme="minorEastAsia" w:hAnsiTheme="minorEastAsia" w:eastAsiaTheme="minorEastAsia" w:cstheme="minorEastAsia"/>
          <w:bCs/>
          <w:smallCaps w:val="0"/>
          <w:spacing w:val="0"/>
          <w:kern w:val="44"/>
          <w:szCs w:val="28"/>
        </w:rPr>
      </w:pPr>
      <w:bookmarkStart w:id="13" w:name="_Toc30077"/>
      <w:bookmarkStart w:id="14" w:name="_Toc18285"/>
      <w:bookmarkStart w:id="15" w:name="_Toc28938"/>
      <w:bookmarkStart w:id="16" w:name="_Toc77884742"/>
      <w:bookmarkStart w:id="17" w:name="_Toc77884944"/>
      <w:bookmarkStart w:id="18" w:name="_Toc21922"/>
      <w:r>
        <w:rPr>
          <w:rFonts w:hint="eastAsia" w:asciiTheme="minorEastAsia" w:hAnsiTheme="minorEastAsia" w:eastAsiaTheme="minorEastAsia" w:cstheme="minorEastAsia"/>
          <w:bCs/>
          <w:smallCaps w:val="0"/>
          <w:spacing w:val="0"/>
          <w:kern w:val="44"/>
          <w:szCs w:val="28"/>
        </w:rPr>
        <w:t>二、入学要求</w:t>
      </w:r>
      <w:bookmarkEnd w:id="13"/>
      <w:bookmarkEnd w:id="14"/>
      <w:bookmarkEnd w:id="15"/>
      <w:bookmarkEnd w:id="16"/>
      <w:bookmarkEnd w:id="17"/>
      <w:bookmarkEnd w:id="18"/>
    </w:p>
    <w:p w14:paraId="4FBDC9DD">
      <w:pPr>
        <w:spacing w:line="360" w:lineRule="auto"/>
        <w:ind w:firstLine="560" w:firstLineChars="200"/>
        <w:rPr>
          <w:rFonts w:asciiTheme="minorEastAsia" w:hAnsiTheme="minorEastAsia" w:eastAsiaTheme="minorEastAsia" w:cstheme="minorEastAsia"/>
          <w:color w:val="000000"/>
          <w:sz w:val="28"/>
          <w:szCs w:val="28"/>
        </w:rPr>
      </w:pPr>
      <w:bookmarkStart w:id="19" w:name="_Toc7126"/>
      <w:bookmarkStart w:id="20" w:name="_Toc10489"/>
      <w:bookmarkStart w:id="21" w:name="_Toc77884743"/>
      <w:bookmarkStart w:id="22" w:name="_Toc12753"/>
      <w:bookmarkStart w:id="23" w:name="_Toc9123"/>
      <w:bookmarkStart w:id="24" w:name="_Toc77884945"/>
      <w:r>
        <w:rPr>
          <w:rFonts w:hint="eastAsia" w:asciiTheme="minorEastAsia" w:hAnsiTheme="minorEastAsia" w:eastAsiaTheme="minorEastAsia" w:cstheme="minorEastAsia"/>
          <w:color w:val="000000"/>
          <w:sz w:val="28"/>
          <w:szCs w:val="28"/>
        </w:rPr>
        <w:t>初中毕业生或具有同等学力者</w:t>
      </w:r>
    </w:p>
    <w:p w14:paraId="3EF5F362">
      <w:pPr>
        <w:pStyle w:val="2"/>
        <w:keepNext/>
        <w:keepLines/>
        <w:widowControl w:val="0"/>
        <w:spacing w:before="0" w:line="360" w:lineRule="auto"/>
        <w:ind w:firstLine="562" w:firstLineChars="200"/>
        <w:contextualSpacing w:val="0"/>
        <w:jc w:val="both"/>
        <w:rPr>
          <w:rFonts w:asciiTheme="minorEastAsia" w:hAnsiTheme="minorEastAsia" w:eastAsiaTheme="minorEastAsia" w:cstheme="minorEastAsia"/>
          <w:b w:val="0"/>
          <w:smallCaps w:val="0"/>
          <w:spacing w:val="0"/>
          <w:kern w:val="44"/>
          <w:szCs w:val="28"/>
        </w:rPr>
      </w:pPr>
      <w:r>
        <w:rPr>
          <w:rFonts w:hint="eastAsia" w:asciiTheme="minorEastAsia" w:hAnsiTheme="minorEastAsia" w:eastAsiaTheme="minorEastAsia" w:cstheme="minorEastAsia"/>
          <w:bCs/>
          <w:smallCaps w:val="0"/>
          <w:spacing w:val="0"/>
          <w:kern w:val="44"/>
          <w:szCs w:val="28"/>
        </w:rPr>
        <w:t>三、修业年限</w:t>
      </w:r>
      <w:bookmarkEnd w:id="19"/>
      <w:bookmarkEnd w:id="20"/>
      <w:bookmarkEnd w:id="21"/>
      <w:bookmarkEnd w:id="22"/>
      <w:bookmarkEnd w:id="23"/>
      <w:bookmarkEnd w:id="24"/>
    </w:p>
    <w:p w14:paraId="7C86D71B">
      <w:pPr>
        <w:spacing w:line="360" w:lineRule="auto"/>
        <w:ind w:firstLine="560" w:firstLineChars="200"/>
        <w:rPr>
          <w:rFonts w:asciiTheme="minorEastAsia" w:hAnsiTheme="minorEastAsia" w:eastAsiaTheme="minorEastAsia" w:cstheme="minorEastAsia"/>
          <w:color w:val="000000"/>
          <w:sz w:val="28"/>
          <w:szCs w:val="28"/>
        </w:rPr>
      </w:pPr>
      <w:bookmarkStart w:id="25" w:name="_Toc77884744"/>
      <w:bookmarkStart w:id="26" w:name="_Toc77884946"/>
      <w:bookmarkStart w:id="27" w:name="_Toc11957"/>
      <w:bookmarkStart w:id="28" w:name="_Toc9091"/>
      <w:bookmarkStart w:id="29" w:name="_Toc17331"/>
      <w:bookmarkStart w:id="30" w:name="_Toc15361"/>
      <w:r>
        <w:rPr>
          <w:rFonts w:hint="eastAsia" w:asciiTheme="minorEastAsia" w:hAnsiTheme="minorEastAsia" w:eastAsiaTheme="minorEastAsia" w:cstheme="minorEastAsia"/>
          <w:color w:val="000000"/>
          <w:sz w:val="28"/>
          <w:szCs w:val="28"/>
        </w:rPr>
        <w:t>五年（前三年为中职，后两年为高职）</w:t>
      </w:r>
    </w:p>
    <w:p w14:paraId="5BF72536">
      <w:pPr>
        <w:pStyle w:val="2"/>
        <w:snapToGrid w:val="0"/>
        <w:spacing w:before="156" w:beforeLines="50" w:after="156" w:afterLines="50" w:line="360" w:lineRule="auto"/>
        <w:ind w:left="584"/>
        <w:jc w:val="both"/>
        <w:rPr>
          <w:rFonts w:asciiTheme="minorEastAsia" w:hAnsiTheme="minorEastAsia" w:eastAsiaTheme="minorEastAsia" w:cstheme="minorEastAsia"/>
          <w:bCs/>
          <w:szCs w:val="28"/>
        </w:rPr>
      </w:pPr>
      <w:r>
        <w:rPr>
          <w:rFonts w:hint="eastAsia" w:asciiTheme="minorEastAsia" w:hAnsiTheme="minorEastAsia" w:eastAsiaTheme="minorEastAsia" w:cstheme="minorEastAsia"/>
          <w:bCs/>
          <w:szCs w:val="28"/>
        </w:rPr>
        <w:t>四、职业面向</w:t>
      </w:r>
      <w:bookmarkEnd w:id="25"/>
      <w:bookmarkEnd w:id="26"/>
      <w:bookmarkEnd w:id="27"/>
      <w:bookmarkEnd w:id="28"/>
      <w:r>
        <w:rPr>
          <w:rFonts w:hint="eastAsia" w:asciiTheme="minorEastAsia" w:hAnsiTheme="minorEastAsia" w:eastAsiaTheme="minorEastAsia" w:cstheme="minorEastAsia"/>
          <w:bCs/>
          <w:szCs w:val="28"/>
        </w:rPr>
        <w:t>及职业岗位分析</w:t>
      </w:r>
      <w:bookmarkEnd w:id="29"/>
      <w:bookmarkEnd w:id="30"/>
    </w:p>
    <w:p w14:paraId="335B72F1">
      <w:pPr>
        <w:pStyle w:val="3"/>
        <w:spacing w:before="156" w:beforeLines="50" w:after="156" w:afterLines="50" w:line="360" w:lineRule="auto"/>
        <w:ind w:left="0" w:firstLine="562"/>
        <w:rPr>
          <w:rFonts w:asciiTheme="minorEastAsia" w:hAnsiTheme="minorEastAsia" w:eastAsiaTheme="minorEastAsia" w:cstheme="minorEastAsia"/>
          <w:sz w:val="28"/>
          <w:szCs w:val="28"/>
        </w:rPr>
      </w:pPr>
      <w:bookmarkStart w:id="31" w:name="_Toc16676"/>
      <w:r>
        <w:rPr>
          <w:rFonts w:hint="eastAsia" w:asciiTheme="minorEastAsia" w:hAnsiTheme="minorEastAsia" w:eastAsiaTheme="minorEastAsia" w:cstheme="minorEastAsia"/>
          <w:sz w:val="28"/>
          <w:szCs w:val="28"/>
        </w:rPr>
        <w:t>(一)本专业职业面向</w:t>
      </w:r>
      <w:bookmarkEnd w:id="31"/>
      <w:r>
        <w:rPr>
          <w:rFonts w:hint="eastAsia" w:asciiTheme="minorEastAsia" w:hAnsiTheme="minorEastAsia" w:eastAsiaTheme="minorEastAsia" w:cstheme="minorEastAsia"/>
          <w:sz w:val="28"/>
          <w:szCs w:val="28"/>
        </w:rPr>
        <w:t xml:space="preserve"> </w:t>
      </w:r>
    </w:p>
    <w:p w14:paraId="565557B9">
      <w:pPr>
        <w:spacing w:line="360" w:lineRule="auto"/>
        <w:ind w:firstLine="562" w:firstLineChars="200"/>
        <w:rPr>
          <w:rFonts w:asciiTheme="minorEastAsia" w:hAnsiTheme="minorEastAsia" w:eastAsiaTheme="minorEastAsia" w:cstheme="minorEastAsia"/>
          <w:b/>
          <w:bCs/>
          <w:color w:val="000000"/>
          <w:sz w:val="28"/>
          <w:szCs w:val="28"/>
        </w:rPr>
      </w:pPr>
      <w:r>
        <w:rPr>
          <w:rFonts w:hint="eastAsia" w:asciiTheme="minorEastAsia" w:hAnsiTheme="minorEastAsia" w:eastAsiaTheme="minorEastAsia" w:cstheme="minorEastAsia"/>
          <w:b/>
          <w:bCs/>
          <w:color w:val="000000"/>
          <w:sz w:val="28"/>
          <w:szCs w:val="28"/>
        </w:rPr>
        <w:t>1.中职学段职业面向</w:t>
      </w:r>
    </w:p>
    <w:p w14:paraId="23133BAF">
      <w:pPr>
        <w:spacing w:line="360" w:lineRule="auto"/>
        <w:jc w:val="center"/>
        <w:rPr>
          <w:rFonts w:asciiTheme="minorEastAsia" w:hAnsiTheme="minorEastAsia" w:eastAsiaTheme="minorEastAsia" w:cstheme="minorEastAsia"/>
          <w:b/>
          <w:bCs/>
          <w:color w:val="000000"/>
          <w:sz w:val="28"/>
          <w:szCs w:val="28"/>
        </w:rPr>
      </w:pPr>
      <w:r>
        <w:rPr>
          <w:rFonts w:hint="eastAsia" w:ascii="宋体" w:hAnsi="宋体" w:eastAsia="宋体" w:cs="宋体"/>
          <w:b/>
          <w:iCs/>
          <w:sz w:val="21"/>
          <w:szCs w:val="21"/>
        </w:rPr>
        <w:t>表1</w:t>
      </w:r>
      <w:r>
        <w:rPr>
          <w:rFonts w:hint="eastAsia" w:ascii="Cambria" w:hAnsi="Cambria" w:eastAsia="宋体" w:cs="Times New Roman"/>
          <w:b/>
          <w:bCs/>
          <w:sz w:val="18"/>
          <w:szCs w:val="18"/>
        </w:rPr>
        <w:t xml:space="preserve">  </w:t>
      </w:r>
      <w:r>
        <w:rPr>
          <w:rFonts w:hint="eastAsia" w:ascii="宋体" w:hAnsi="宋体" w:eastAsia="宋体" w:cs="宋体"/>
          <w:b/>
          <w:iCs/>
          <w:sz w:val="21"/>
          <w:szCs w:val="21"/>
        </w:rPr>
        <w:t>会计事务专业职业面向</w:t>
      </w:r>
    </w:p>
    <w:tbl>
      <w:tblPr>
        <w:tblStyle w:val="13"/>
        <w:tblpPr w:leftFromText="180" w:rightFromText="180" w:vertAnchor="text" w:horzAnchor="margin" w:tblpXSpec="center" w:tblpY="67"/>
        <w:tblW w:w="924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25"/>
        <w:gridCol w:w="1035"/>
        <w:gridCol w:w="1211"/>
        <w:gridCol w:w="1234"/>
        <w:gridCol w:w="1620"/>
        <w:gridCol w:w="2715"/>
      </w:tblGrid>
      <w:tr w14:paraId="5F9A4F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0" w:hRule="exact"/>
        </w:trPr>
        <w:tc>
          <w:tcPr>
            <w:tcW w:w="1425" w:type="dxa"/>
            <w:vAlign w:val="center"/>
          </w:tcPr>
          <w:p w14:paraId="33E57C7F">
            <w:pPr>
              <w:spacing w:line="400" w:lineRule="exact"/>
              <w:jc w:val="center"/>
              <w:rPr>
                <w:rFonts w:ascii="宋体" w:hAnsi="宋体" w:eastAsia="宋体" w:cs="宋体"/>
                <w:b/>
                <w:color w:val="000000"/>
                <w:sz w:val="18"/>
                <w:szCs w:val="18"/>
              </w:rPr>
            </w:pPr>
            <w:r>
              <w:rPr>
                <w:rFonts w:hint="eastAsia" w:ascii="宋体" w:hAnsi="宋体" w:eastAsia="宋体" w:cs="宋体"/>
                <w:b/>
                <w:color w:val="000000"/>
                <w:sz w:val="18"/>
                <w:szCs w:val="18"/>
              </w:rPr>
              <w:t>所属专业大类（专业类</w:t>
            </w:r>
          </w:p>
        </w:tc>
        <w:tc>
          <w:tcPr>
            <w:tcW w:w="1035" w:type="dxa"/>
            <w:vAlign w:val="center"/>
          </w:tcPr>
          <w:p w14:paraId="05E5D866">
            <w:pPr>
              <w:spacing w:line="400" w:lineRule="exact"/>
              <w:jc w:val="center"/>
              <w:rPr>
                <w:rFonts w:ascii="宋体" w:hAnsi="宋体" w:eastAsia="宋体" w:cs="宋体"/>
                <w:b/>
                <w:color w:val="000000"/>
                <w:sz w:val="18"/>
                <w:szCs w:val="18"/>
              </w:rPr>
            </w:pPr>
            <w:r>
              <w:rPr>
                <w:rFonts w:hint="eastAsia" w:ascii="宋体" w:hAnsi="宋体" w:eastAsia="宋体" w:cs="宋体"/>
                <w:b/>
                <w:color w:val="000000"/>
                <w:sz w:val="18"/>
                <w:szCs w:val="18"/>
              </w:rPr>
              <w:t>所属专业大类（专业类）代码</w:t>
            </w:r>
          </w:p>
        </w:tc>
        <w:tc>
          <w:tcPr>
            <w:tcW w:w="1211" w:type="dxa"/>
            <w:vAlign w:val="center"/>
          </w:tcPr>
          <w:p w14:paraId="5DAB86BD">
            <w:pPr>
              <w:spacing w:line="400" w:lineRule="exact"/>
              <w:jc w:val="center"/>
              <w:rPr>
                <w:rFonts w:ascii="宋体" w:hAnsi="宋体" w:eastAsia="宋体" w:cs="宋体"/>
                <w:b/>
                <w:color w:val="000000"/>
                <w:sz w:val="18"/>
                <w:szCs w:val="18"/>
              </w:rPr>
            </w:pPr>
            <w:r>
              <w:rPr>
                <w:rFonts w:hint="eastAsia" w:ascii="宋体" w:hAnsi="宋体" w:eastAsia="宋体" w:cs="宋体"/>
                <w:b/>
                <w:color w:val="000000"/>
                <w:sz w:val="18"/>
                <w:szCs w:val="18"/>
              </w:rPr>
              <w:t>对应行业</w:t>
            </w:r>
          </w:p>
          <w:p w14:paraId="185CD7A8">
            <w:pPr>
              <w:spacing w:line="400" w:lineRule="exact"/>
              <w:jc w:val="center"/>
              <w:rPr>
                <w:rFonts w:ascii="宋体" w:hAnsi="宋体" w:eastAsia="宋体" w:cs="宋体"/>
                <w:b/>
                <w:color w:val="000000"/>
                <w:sz w:val="18"/>
                <w:szCs w:val="18"/>
              </w:rPr>
            </w:pPr>
          </w:p>
        </w:tc>
        <w:tc>
          <w:tcPr>
            <w:tcW w:w="1234" w:type="dxa"/>
            <w:vAlign w:val="center"/>
          </w:tcPr>
          <w:p w14:paraId="3CC9F716">
            <w:pPr>
              <w:spacing w:line="400" w:lineRule="exact"/>
              <w:jc w:val="center"/>
              <w:rPr>
                <w:rFonts w:ascii="宋体" w:hAnsi="宋体" w:eastAsia="宋体" w:cs="宋体"/>
                <w:b/>
                <w:color w:val="000000"/>
                <w:sz w:val="18"/>
                <w:szCs w:val="18"/>
              </w:rPr>
            </w:pPr>
            <w:r>
              <w:rPr>
                <w:rFonts w:hint="eastAsia" w:ascii="宋体" w:hAnsi="宋体" w:eastAsia="宋体" w:cs="宋体"/>
                <w:b/>
                <w:color w:val="000000"/>
                <w:sz w:val="18"/>
                <w:szCs w:val="18"/>
              </w:rPr>
              <w:t>主要职业类别</w:t>
            </w:r>
          </w:p>
          <w:p w14:paraId="2B18E388">
            <w:pPr>
              <w:spacing w:line="400" w:lineRule="exact"/>
              <w:jc w:val="center"/>
              <w:rPr>
                <w:rFonts w:ascii="宋体" w:hAnsi="宋体" w:eastAsia="宋体" w:cs="宋体"/>
                <w:b/>
                <w:color w:val="000000"/>
                <w:sz w:val="18"/>
                <w:szCs w:val="18"/>
              </w:rPr>
            </w:pPr>
          </w:p>
        </w:tc>
        <w:tc>
          <w:tcPr>
            <w:tcW w:w="1620" w:type="dxa"/>
            <w:vAlign w:val="center"/>
          </w:tcPr>
          <w:p w14:paraId="74DD9864">
            <w:pPr>
              <w:spacing w:line="400" w:lineRule="exact"/>
              <w:jc w:val="center"/>
              <w:rPr>
                <w:rFonts w:ascii="宋体" w:hAnsi="宋体" w:eastAsia="宋体" w:cs="宋体"/>
                <w:b/>
                <w:color w:val="000000"/>
                <w:sz w:val="18"/>
                <w:szCs w:val="18"/>
              </w:rPr>
            </w:pPr>
            <w:r>
              <w:rPr>
                <w:rFonts w:hint="eastAsia" w:ascii="宋体" w:hAnsi="宋体" w:eastAsia="宋体" w:cs="宋体"/>
                <w:b/>
                <w:color w:val="000000"/>
                <w:sz w:val="18"/>
                <w:szCs w:val="18"/>
              </w:rPr>
              <w:t>主要岗位类别（或技术领域）</w:t>
            </w:r>
          </w:p>
        </w:tc>
        <w:tc>
          <w:tcPr>
            <w:tcW w:w="2715" w:type="dxa"/>
            <w:vAlign w:val="center"/>
          </w:tcPr>
          <w:p w14:paraId="742C392C">
            <w:pPr>
              <w:spacing w:line="400" w:lineRule="exact"/>
              <w:jc w:val="center"/>
              <w:rPr>
                <w:rFonts w:ascii="宋体" w:hAnsi="宋体" w:eastAsia="宋体" w:cs="宋体"/>
                <w:b/>
                <w:color w:val="000000"/>
                <w:sz w:val="18"/>
                <w:szCs w:val="18"/>
              </w:rPr>
            </w:pPr>
            <w:r>
              <w:rPr>
                <w:rFonts w:hint="eastAsia" w:ascii="宋体" w:hAnsi="宋体" w:eastAsia="宋体" w:cs="宋体"/>
                <w:b/>
                <w:color w:val="000000"/>
                <w:sz w:val="18"/>
                <w:szCs w:val="18"/>
              </w:rPr>
              <w:t>职业资格证书或技能等级证书举例</w:t>
            </w:r>
          </w:p>
        </w:tc>
      </w:tr>
      <w:tr w14:paraId="2964D3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277" w:hRule="exact"/>
        </w:trPr>
        <w:tc>
          <w:tcPr>
            <w:tcW w:w="1425" w:type="dxa"/>
            <w:vAlign w:val="center"/>
          </w:tcPr>
          <w:p w14:paraId="3DDAB8D2">
            <w:pPr>
              <w:pStyle w:val="65"/>
              <w:tabs>
                <w:tab w:val="left" w:pos="593"/>
              </w:tabs>
              <w:spacing w:after="120" w:line="400" w:lineRule="atLeast"/>
              <w:rPr>
                <w:rFonts w:ascii="宋体" w:hAnsi="宋体" w:eastAsia="宋体" w:cs="宋体"/>
                <w:color w:val="000000"/>
              </w:rPr>
            </w:pPr>
            <w:r>
              <w:rPr>
                <w:rFonts w:hint="eastAsia" w:ascii="宋体" w:hAnsi="宋体" w:eastAsia="宋体" w:cs="宋体"/>
                <w:color w:val="000000"/>
              </w:rPr>
              <w:t>财经商贸大类（财务会计类）</w:t>
            </w:r>
          </w:p>
        </w:tc>
        <w:tc>
          <w:tcPr>
            <w:tcW w:w="1035" w:type="dxa"/>
            <w:vAlign w:val="center"/>
          </w:tcPr>
          <w:p w14:paraId="0AF13898">
            <w:pPr>
              <w:pStyle w:val="65"/>
              <w:spacing w:after="120" w:line="400" w:lineRule="atLeast"/>
              <w:jc w:val="center"/>
              <w:rPr>
                <w:rFonts w:ascii="宋体" w:hAnsi="宋体" w:eastAsia="宋体" w:cs="宋体"/>
                <w:color w:val="000000"/>
              </w:rPr>
            </w:pPr>
            <w:r>
              <w:rPr>
                <w:rFonts w:hint="eastAsia" w:ascii="宋体" w:hAnsi="宋体" w:eastAsia="宋体" w:cs="宋体"/>
                <w:color w:val="000000"/>
              </w:rPr>
              <w:t>73（5303）</w:t>
            </w:r>
          </w:p>
        </w:tc>
        <w:tc>
          <w:tcPr>
            <w:tcW w:w="1211" w:type="dxa"/>
            <w:vAlign w:val="center"/>
          </w:tcPr>
          <w:p w14:paraId="6314CCB3">
            <w:pPr>
              <w:pStyle w:val="65"/>
              <w:spacing w:after="120" w:line="400" w:lineRule="atLeast"/>
              <w:jc w:val="center"/>
              <w:rPr>
                <w:rFonts w:ascii="宋体" w:hAnsi="宋体" w:eastAsia="宋体" w:cs="宋体"/>
                <w:color w:val="000000"/>
              </w:rPr>
            </w:pPr>
            <w:r>
              <w:rPr>
                <w:rFonts w:hint="eastAsia" w:ascii="宋体" w:hAnsi="宋体" w:eastAsia="宋体" w:cs="宋体"/>
                <w:color w:val="000000"/>
              </w:rPr>
              <w:t>企、事业单位、银行、会计师事务所</w:t>
            </w:r>
          </w:p>
        </w:tc>
        <w:tc>
          <w:tcPr>
            <w:tcW w:w="1234" w:type="dxa"/>
            <w:vAlign w:val="center"/>
          </w:tcPr>
          <w:p w14:paraId="2FFDD2AF">
            <w:pPr>
              <w:pStyle w:val="65"/>
              <w:spacing w:after="120" w:line="400" w:lineRule="atLeast"/>
              <w:jc w:val="center"/>
              <w:rPr>
                <w:rFonts w:ascii="宋体" w:hAnsi="宋体" w:eastAsia="宋体" w:cs="宋体"/>
                <w:color w:val="000000"/>
              </w:rPr>
            </w:pPr>
            <w:r>
              <w:rPr>
                <w:rFonts w:hint="eastAsia" w:ascii="宋体" w:hAnsi="宋体" w:eastAsia="宋体" w:cs="宋体"/>
                <w:color w:val="000000"/>
              </w:rPr>
              <w:t>收银人员、统计人员、会计人员、仓储人员、其他商业服务业人员</w:t>
            </w:r>
          </w:p>
        </w:tc>
        <w:tc>
          <w:tcPr>
            <w:tcW w:w="1620" w:type="dxa"/>
            <w:vAlign w:val="center"/>
          </w:tcPr>
          <w:p w14:paraId="37884D61">
            <w:pPr>
              <w:pStyle w:val="65"/>
              <w:spacing w:after="120" w:line="400" w:lineRule="atLeast"/>
              <w:jc w:val="center"/>
              <w:rPr>
                <w:rFonts w:ascii="宋体" w:hAnsi="宋体" w:eastAsia="宋体" w:cs="宋体"/>
                <w:color w:val="000000"/>
              </w:rPr>
            </w:pPr>
            <w:r>
              <w:rPr>
                <w:rFonts w:hint="eastAsia" w:ascii="宋体" w:hAnsi="宋体" w:eastAsia="宋体" w:cs="宋体"/>
                <w:color w:val="000000"/>
              </w:rPr>
              <w:t>资金出纳岗位总账会计岗位往来会计岗位</w:t>
            </w:r>
          </w:p>
        </w:tc>
        <w:tc>
          <w:tcPr>
            <w:tcW w:w="2715" w:type="dxa"/>
            <w:vAlign w:val="center"/>
          </w:tcPr>
          <w:p w14:paraId="030D58DC">
            <w:pPr>
              <w:pStyle w:val="65"/>
              <w:spacing w:after="120" w:line="400" w:lineRule="atLeast"/>
              <w:jc w:val="center"/>
              <w:rPr>
                <w:rFonts w:ascii="宋体" w:hAnsi="宋体" w:eastAsia="宋体" w:cs="宋体"/>
                <w:color w:val="000000"/>
              </w:rPr>
            </w:pPr>
            <w:r>
              <w:rPr>
                <w:rFonts w:hint="eastAsia" w:ascii="宋体" w:hAnsi="宋体" w:eastAsia="宋体" w:cs="宋体"/>
                <w:color w:val="000000"/>
              </w:rPr>
              <w:t>会计技能证</w:t>
            </w:r>
          </w:p>
          <w:p w14:paraId="3216A280">
            <w:pPr>
              <w:pStyle w:val="65"/>
              <w:spacing w:after="120" w:line="400" w:lineRule="atLeast"/>
              <w:jc w:val="center"/>
              <w:rPr>
                <w:rFonts w:ascii="宋体" w:hAnsi="宋体" w:eastAsia="宋体" w:cs="宋体"/>
                <w:color w:val="000000"/>
              </w:rPr>
            </w:pPr>
            <w:r>
              <w:rPr>
                <w:rFonts w:hint="eastAsia" w:ascii="宋体" w:hAnsi="宋体" w:eastAsia="宋体" w:cs="宋体"/>
                <w:color w:val="000000"/>
              </w:rPr>
              <w:t>智能财税（初级）、财务共享服务职业技能（初级）</w:t>
            </w:r>
          </w:p>
        </w:tc>
      </w:tr>
    </w:tbl>
    <w:p w14:paraId="1C0A4647">
      <w:pPr>
        <w:spacing w:line="360" w:lineRule="auto"/>
        <w:ind w:firstLine="562" w:firstLineChars="200"/>
        <w:rPr>
          <w:rFonts w:ascii="宋体" w:hAnsi="宋体"/>
          <w:color w:val="000000"/>
          <w:sz w:val="28"/>
          <w:szCs w:val="28"/>
        </w:rPr>
      </w:pPr>
      <w:r>
        <w:rPr>
          <w:rFonts w:hint="eastAsia" w:ascii="宋体" w:hAnsi="宋体" w:eastAsia="宋体" w:cs="宋体"/>
          <w:b/>
          <w:bCs/>
          <w:color w:val="000000"/>
          <w:sz w:val="28"/>
          <w:szCs w:val="28"/>
        </w:rPr>
        <w:t>2.高职学段职业面向</w:t>
      </w:r>
    </w:p>
    <w:p w14:paraId="5136D275">
      <w:pPr>
        <w:spacing w:line="360" w:lineRule="auto"/>
        <w:jc w:val="center"/>
        <w:rPr>
          <w:rFonts w:ascii="宋体" w:hAnsi="宋体"/>
          <w:color w:val="000000"/>
          <w:sz w:val="28"/>
          <w:szCs w:val="28"/>
        </w:rPr>
      </w:pPr>
      <w:r>
        <w:rPr>
          <w:rFonts w:hint="eastAsia" w:ascii="宋体" w:hAnsi="宋体" w:eastAsia="宋体" w:cs="宋体"/>
          <w:b/>
          <w:iCs/>
          <w:sz w:val="21"/>
          <w:szCs w:val="21"/>
        </w:rPr>
        <w:t>表1</w:t>
      </w:r>
      <w:r>
        <w:rPr>
          <w:rFonts w:hint="eastAsia" w:ascii="Cambria" w:hAnsi="Cambria" w:eastAsia="宋体" w:cs="Times New Roman"/>
          <w:b/>
          <w:bCs/>
          <w:sz w:val="18"/>
          <w:szCs w:val="18"/>
        </w:rPr>
        <w:t xml:space="preserve">  </w:t>
      </w:r>
      <w:r>
        <w:rPr>
          <w:rFonts w:hint="eastAsia" w:ascii="宋体" w:hAnsi="宋体" w:eastAsia="宋体" w:cs="宋体"/>
          <w:b/>
          <w:iCs/>
          <w:sz w:val="21"/>
          <w:szCs w:val="21"/>
        </w:rPr>
        <w:t>会计信息管理专业职业面向</w:t>
      </w:r>
    </w:p>
    <w:tbl>
      <w:tblPr>
        <w:tblStyle w:val="13"/>
        <w:tblW w:w="9067" w:type="dxa"/>
        <w:jc w:val="center"/>
        <w:tblBorders>
          <w:top w:val="none" w:color="auto" w:sz="0" w:space="0"/>
          <w:left w:val="none" w:color="auto" w:sz="0" w:space="0"/>
          <w:bottom w:val="none" w:color="auto" w:sz="0" w:space="0"/>
          <w:right w:val="none" w:color="auto" w:sz="0" w:space="0"/>
          <w:insideH w:val="outset" w:color="auto" w:sz="6" w:space="0"/>
          <w:insideV w:val="outset" w:color="auto" w:sz="6" w:space="0"/>
        </w:tblBorders>
        <w:tblLayout w:type="fixed"/>
        <w:tblCellMar>
          <w:top w:w="0" w:type="dxa"/>
          <w:left w:w="0" w:type="dxa"/>
          <w:bottom w:w="0" w:type="dxa"/>
          <w:right w:w="0" w:type="dxa"/>
        </w:tblCellMar>
      </w:tblPr>
      <w:tblGrid>
        <w:gridCol w:w="1554"/>
        <w:gridCol w:w="1000"/>
        <w:gridCol w:w="1117"/>
        <w:gridCol w:w="1387"/>
        <w:gridCol w:w="1592"/>
        <w:gridCol w:w="2417"/>
      </w:tblGrid>
      <w:tr w14:paraId="34958988">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1615" w:hRule="atLeast"/>
          <w:jc w:val="center"/>
        </w:trPr>
        <w:tc>
          <w:tcPr>
            <w:tcW w:w="155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14:paraId="3F34A2FA">
            <w:pPr>
              <w:spacing w:line="400" w:lineRule="exact"/>
              <w:jc w:val="center"/>
              <w:rPr>
                <w:rFonts w:ascii="宋体" w:hAnsi="宋体" w:eastAsia="宋体" w:cs="宋体"/>
                <w:b/>
                <w:color w:val="000000"/>
                <w:sz w:val="18"/>
                <w:szCs w:val="18"/>
              </w:rPr>
            </w:pPr>
            <w:r>
              <w:rPr>
                <w:rFonts w:hint="eastAsia" w:ascii="宋体" w:hAnsi="宋体" w:eastAsia="宋体" w:cs="宋体"/>
                <w:b/>
                <w:color w:val="000000"/>
                <w:sz w:val="18"/>
                <w:szCs w:val="18"/>
              </w:rPr>
              <w:t>所属专业大类（专业类）</w:t>
            </w:r>
          </w:p>
        </w:tc>
        <w:tc>
          <w:tcPr>
            <w:tcW w:w="1000"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14:paraId="615D2DCE">
            <w:pPr>
              <w:spacing w:line="400" w:lineRule="exact"/>
              <w:jc w:val="center"/>
              <w:rPr>
                <w:rFonts w:ascii="宋体" w:hAnsi="宋体" w:eastAsia="宋体" w:cs="宋体"/>
                <w:b/>
                <w:color w:val="000000"/>
                <w:sz w:val="18"/>
                <w:szCs w:val="18"/>
              </w:rPr>
            </w:pPr>
            <w:r>
              <w:rPr>
                <w:rFonts w:hint="eastAsia" w:ascii="宋体" w:hAnsi="宋体" w:eastAsia="宋体" w:cs="宋体"/>
                <w:b/>
                <w:color w:val="000000"/>
                <w:sz w:val="18"/>
                <w:szCs w:val="18"/>
              </w:rPr>
              <w:t>所属专业大类（专业类）代码</w:t>
            </w:r>
          </w:p>
        </w:tc>
        <w:tc>
          <w:tcPr>
            <w:tcW w:w="1117"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14:paraId="4EB321A2">
            <w:pPr>
              <w:spacing w:line="400" w:lineRule="exact"/>
              <w:jc w:val="center"/>
              <w:rPr>
                <w:rFonts w:ascii="宋体" w:hAnsi="宋体" w:eastAsia="宋体" w:cs="宋体"/>
                <w:b/>
                <w:color w:val="000000"/>
                <w:sz w:val="18"/>
                <w:szCs w:val="18"/>
              </w:rPr>
            </w:pPr>
            <w:r>
              <w:rPr>
                <w:rFonts w:hint="eastAsia" w:ascii="宋体" w:hAnsi="宋体" w:eastAsia="宋体" w:cs="宋体"/>
                <w:b/>
                <w:color w:val="000000"/>
                <w:sz w:val="18"/>
                <w:szCs w:val="18"/>
              </w:rPr>
              <w:t>对应行业</w:t>
            </w:r>
          </w:p>
        </w:tc>
        <w:tc>
          <w:tcPr>
            <w:tcW w:w="1387"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14:paraId="491E2FF9">
            <w:pPr>
              <w:spacing w:line="400" w:lineRule="exact"/>
              <w:jc w:val="center"/>
              <w:rPr>
                <w:rFonts w:ascii="宋体" w:hAnsi="宋体" w:eastAsia="宋体" w:cs="宋体"/>
                <w:b/>
                <w:color w:val="000000"/>
                <w:sz w:val="18"/>
                <w:szCs w:val="18"/>
              </w:rPr>
            </w:pPr>
            <w:r>
              <w:rPr>
                <w:rFonts w:hint="eastAsia" w:ascii="宋体" w:hAnsi="宋体" w:eastAsia="宋体" w:cs="宋体"/>
                <w:b/>
                <w:color w:val="000000"/>
                <w:sz w:val="18"/>
                <w:szCs w:val="18"/>
              </w:rPr>
              <w:t>主要职业类别</w:t>
            </w:r>
          </w:p>
        </w:tc>
        <w:tc>
          <w:tcPr>
            <w:tcW w:w="1592"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14:paraId="2623416B">
            <w:pPr>
              <w:spacing w:line="400" w:lineRule="exact"/>
              <w:jc w:val="center"/>
              <w:rPr>
                <w:rFonts w:ascii="宋体" w:hAnsi="宋体" w:eastAsia="宋体" w:cs="宋体"/>
                <w:b/>
                <w:color w:val="000000"/>
                <w:sz w:val="18"/>
                <w:szCs w:val="18"/>
              </w:rPr>
            </w:pPr>
            <w:r>
              <w:rPr>
                <w:rFonts w:hint="eastAsia" w:ascii="宋体" w:hAnsi="宋体" w:eastAsia="宋体" w:cs="宋体"/>
                <w:b/>
                <w:color w:val="000000"/>
                <w:sz w:val="18"/>
                <w:szCs w:val="18"/>
              </w:rPr>
              <w:t>主要岗位类别（或技术领域）</w:t>
            </w:r>
          </w:p>
        </w:tc>
        <w:tc>
          <w:tcPr>
            <w:tcW w:w="2417"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14:paraId="3191772B">
            <w:pPr>
              <w:spacing w:line="400" w:lineRule="exact"/>
              <w:jc w:val="center"/>
              <w:rPr>
                <w:rFonts w:ascii="宋体" w:hAnsi="宋体" w:eastAsia="宋体" w:cs="宋体"/>
                <w:b/>
                <w:color w:val="000000"/>
                <w:sz w:val="18"/>
                <w:szCs w:val="18"/>
              </w:rPr>
            </w:pPr>
            <w:r>
              <w:rPr>
                <w:rFonts w:hint="eastAsia" w:ascii="宋体" w:hAnsi="宋体" w:eastAsia="宋体" w:cs="宋体"/>
                <w:b/>
                <w:color w:val="000000"/>
                <w:sz w:val="18"/>
                <w:szCs w:val="18"/>
              </w:rPr>
              <w:t>职业技能等级证书、社会认可度高的行业企业（人才）标准或证书举例</w:t>
            </w:r>
          </w:p>
        </w:tc>
      </w:tr>
      <w:tr w14:paraId="2A84C0EA">
        <w:tblPrEx>
          <w:tblBorders>
            <w:top w:val="none" w:color="auto" w:sz="0" w:space="0"/>
            <w:left w:val="none" w:color="auto" w:sz="0" w:space="0"/>
            <w:bottom w:val="none" w:color="auto" w:sz="0" w:space="0"/>
            <w:right w:val="none" w:color="auto" w:sz="0" w:space="0"/>
            <w:insideH w:val="outset" w:color="auto" w:sz="6" w:space="0"/>
            <w:insideV w:val="outset" w:color="auto" w:sz="6" w:space="0"/>
          </w:tblBorders>
          <w:tblCellMar>
            <w:top w:w="0" w:type="dxa"/>
            <w:left w:w="0" w:type="dxa"/>
            <w:bottom w:w="0" w:type="dxa"/>
            <w:right w:w="0" w:type="dxa"/>
          </w:tblCellMar>
        </w:tblPrEx>
        <w:trPr>
          <w:trHeight w:val="20" w:hRule="atLeast"/>
          <w:jc w:val="center"/>
        </w:trPr>
        <w:tc>
          <w:tcPr>
            <w:tcW w:w="1554" w:type="dxa"/>
            <w:tcBorders>
              <w:top w:val="nil"/>
              <w:left w:val="single" w:color="000000" w:sz="8" w:space="0"/>
              <w:bottom w:val="single" w:color="000000" w:sz="8" w:space="0"/>
              <w:right w:val="single" w:color="000000" w:sz="8" w:space="0"/>
            </w:tcBorders>
            <w:tcMar>
              <w:top w:w="0" w:type="dxa"/>
              <w:left w:w="108" w:type="dxa"/>
              <w:bottom w:w="0" w:type="dxa"/>
              <w:right w:w="108" w:type="dxa"/>
            </w:tcMar>
            <w:vAlign w:val="center"/>
          </w:tcPr>
          <w:p w14:paraId="67CA093C">
            <w:pPr>
              <w:pStyle w:val="65"/>
              <w:spacing w:after="120" w:line="400" w:lineRule="atLeast"/>
              <w:jc w:val="center"/>
              <w:rPr>
                <w:rFonts w:ascii="宋体" w:hAnsi="宋体" w:eastAsia="宋体" w:cs="宋体"/>
                <w:color w:val="000000"/>
              </w:rPr>
            </w:pPr>
            <w:r>
              <w:rPr>
                <w:rFonts w:hint="eastAsia" w:ascii="宋体" w:hAnsi="宋体" w:eastAsia="宋体" w:cs="宋体"/>
                <w:color w:val="000000"/>
              </w:rPr>
              <w:t>财经商贸大类（财务会计类）</w:t>
            </w:r>
          </w:p>
        </w:tc>
        <w:tc>
          <w:tcPr>
            <w:tcW w:w="1000"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4CD1330A">
            <w:pPr>
              <w:pStyle w:val="65"/>
              <w:spacing w:after="120" w:line="400" w:lineRule="atLeast"/>
              <w:jc w:val="center"/>
              <w:rPr>
                <w:rFonts w:ascii="宋体" w:hAnsi="宋体" w:eastAsia="宋体" w:cs="宋体"/>
                <w:color w:val="000000"/>
              </w:rPr>
            </w:pPr>
            <w:r>
              <w:rPr>
                <w:rFonts w:hint="eastAsia" w:ascii="宋体" w:hAnsi="宋体" w:eastAsia="宋体" w:cs="宋体"/>
                <w:color w:val="000000"/>
              </w:rPr>
              <w:t>63（6303）</w:t>
            </w:r>
          </w:p>
        </w:tc>
        <w:tc>
          <w:tcPr>
            <w:tcW w:w="1117"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109FE439">
            <w:pPr>
              <w:pStyle w:val="65"/>
              <w:spacing w:after="120" w:line="400" w:lineRule="atLeast"/>
              <w:rPr>
                <w:rFonts w:ascii="宋体" w:hAnsi="宋体" w:eastAsia="宋体" w:cs="宋体"/>
                <w:color w:val="000000"/>
              </w:rPr>
            </w:pPr>
            <w:r>
              <w:rPr>
                <w:rFonts w:hint="eastAsia" w:ascii="宋体" w:hAnsi="宋体" w:eastAsia="宋体" w:cs="宋体"/>
                <w:color w:val="000000"/>
              </w:rPr>
              <w:t>企、事业单位、银行、会计师事所、 审计师事务所</w:t>
            </w:r>
          </w:p>
          <w:p w14:paraId="61030D29">
            <w:pPr>
              <w:pStyle w:val="65"/>
              <w:spacing w:after="120" w:line="400" w:lineRule="atLeast"/>
              <w:rPr>
                <w:rFonts w:ascii="宋体" w:hAnsi="宋体" w:eastAsia="宋体" w:cs="宋体"/>
                <w:color w:val="000000"/>
              </w:rPr>
            </w:pPr>
            <w:r>
              <w:rPr>
                <w:rFonts w:hint="eastAsia" w:ascii="宋体" w:hAnsi="宋体" w:eastAsia="宋体" w:cs="宋体"/>
                <w:color w:val="000000"/>
              </w:rPr>
              <w:t>税务服务</w:t>
            </w:r>
          </w:p>
        </w:tc>
        <w:tc>
          <w:tcPr>
            <w:tcW w:w="1387"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4D1CCF69">
            <w:pPr>
              <w:spacing w:after="0" w:line="32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会计专业人员</w:t>
            </w:r>
          </w:p>
          <w:p w14:paraId="654DD01A">
            <w:pPr>
              <w:spacing w:after="0" w:line="32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税务专业人员</w:t>
            </w:r>
          </w:p>
          <w:p w14:paraId="753550EE">
            <w:pPr>
              <w:spacing w:after="0" w:line="320" w:lineRule="exact"/>
              <w:jc w:val="center"/>
              <w:rPr>
                <w:rFonts w:ascii="宋体" w:hAnsi="宋体" w:eastAsia="宋体" w:cs="宋体"/>
                <w:color w:val="000000"/>
                <w:sz w:val="18"/>
                <w:szCs w:val="18"/>
              </w:rPr>
            </w:pPr>
          </w:p>
          <w:p w14:paraId="196EB259">
            <w:pPr>
              <w:spacing w:after="0" w:line="320" w:lineRule="exact"/>
              <w:jc w:val="center"/>
              <w:rPr>
                <w:rFonts w:ascii="宋体" w:hAnsi="宋体" w:eastAsia="宋体" w:cs="宋体"/>
                <w:color w:val="000000"/>
                <w:sz w:val="18"/>
                <w:szCs w:val="18"/>
              </w:rPr>
            </w:pPr>
            <w:r>
              <w:rPr>
                <w:rFonts w:hint="eastAsia" w:ascii="宋体" w:hAnsi="宋体" w:eastAsia="宋体" w:cs="宋体"/>
                <w:color w:val="000000"/>
                <w:sz w:val="18"/>
                <w:szCs w:val="18"/>
              </w:rPr>
              <w:t>其他会计人员</w:t>
            </w:r>
          </w:p>
          <w:p w14:paraId="46BCCBC9">
            <w:pPr>
              <w:pStyle w:val="65"/>
              <w:spacing w:after="120" w:line="400" w:lineRule="atLeast"/>
              <w:jc w:val="center"/>
              <w:rPr>
                <w:rFonts w:ascii="宋体" w:hAnsi="宋体" w:eastAsia="宋体" w:cs="宋体"/>
                <w:color w:val="000000"/>
              </w:rPr>
            </w:pPr>
          </w:p>
        </w:tc>
        <w:tc>
          <w:tcPr>
            <w:tcW w:w="1592"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53E2B47C">
            <w:pPr>
              <w:spacing w:after="0" w:line="320" w:lineRule="exact"/>
              <w:rPr>
                <w:rFonts w:ascii="宋体" w:hAnsi="宋体" w:eastAsia="宋体" w:cs="宋体"/>
                <w:color w:val="000000"/>
                <w:sz w:val="18"/>
                <w:szCs w:val="18"/>
              </w:rPr>
            </w:pPr>
            <w:r>
              <w:rPr>
                <w:rFonts w:hint="eastAsia" w:ascii="宋体" w:hAnsi="宋体" w:eastAsia="宋体" w:cs="宋体"/>
                <w:color w:val="000000"/>
                <w:sz w:val="18"/>
                <w:szCs w:val="18"/>
              </w:rPr>
              <w:t>会计核算岗位、</w:t>
            </w:r>
          </w:p>
          <w:p w14:paraId="3B32EA6A">
            <w:pPr>
              <w:spacing w:after="0" w:line="320" w:lineRule="exact"/>
              <w:rPr>
                <w:rFonts w:ascii="宋体" w:hAnsi="宋体" w:eastAsia="宋体" w:cs="宋体"/>
                <w:color w:val="000000"/>
                <w:sz w:val="18"/>
                <w:szCs w:val="18"/>
              </w:rPr>
            </w:pPr>
            <w:r>
              <w:rPr>
                <w:rFonts w:hint="eastAsia" w:ascii="宋体" w:hAnsi="宋体" w:eastAsia="宋体" w:cs="宋体"/>
                <w:color w:val="000000"/>
                <w:sz w:val="18"/>
                <w:szCs w:val="18"/>
              </w:rPr>
              <w:t>成本核算管理岗位、税务管理岗位、大数据财务分析、财务共享、会计投资管理岗位、财务经理岗位</w:t>
            </w:r>
          </w:p>
        </w:tc>
        <w:tc>
          <w:tcPr>
            <w:tcW w:w="2417" w:type="dxa"/>
            <w:tcBorders>
              <w:top w:val="nil"/>
              <w:left w:val="nil"/>
              <w:bottom w:val="single" w:color="000000" w:sz="8" w:space="0"/>
              <w:right w:val="single" w:color="000000" w:sz="8" w:space="0"/>
            </w:tcBorders>
            <w:tcMar>
              <w:top w:w="0" w:type="dxa"/>
              <w:left w:w="108" w:type="dxa"/>
              <w:bottom w:w="0" w:type="dxa"/>
              <w:right w:w="108" w:type="dxa"/>
            </w:tcMar>
            <w:vAlign w:val="center"/>
          </w:tcPr>
          <w:p w14:paraId="2B57B788">
            <w:pPr>
              <w:pStyle w:val="65"/>
              <w:spacing w:line="400" w:lineRule="atLeast"/>
              <w:jc w:val="center"/>
              <w:rPr>
                <w:rFonts w:ascii="宋体" w:hAnsi="宋体" w:eastAsia="宋体" w:cs="宋体"/>
                <w:color w:val="000000"/>
              </w:rPr>
            </w:pPr>
            <w:r>
              <w:rPr>
                <w:rFonts w:hint="eastAsia" w:ascii="宋体" w:hAnsi="宋体" w:eastAsia="宋体" w:cs="宋体"/>
                <w:color w:val="000000"/>
              </w:rPr>
              <w:t>财务共享服务</w:t>
            </w:r>
          </w:p>
          <w:p w14:paraId="5F2899C5">
            <w:pPr>
              <w:pStyle w:val="65"/>
              <w:spacing w:line="400" w:lineRule="atLeast"/>
              <w:jc w:val="center"/>
              <w:rPr>
                <w:rFonts w:ascii="宋体" w:hAnsi="宋体" w:eastAsia="宋体" w:cs="宋体"/>
                <w:color w:val="000000"/>
              </w:rPr>
            </w:pPr>
            <w:r>
              <w:rPr>
                <w:rFonts w:hint="eastAsia" w:ascii="宋体" w:hAnsi="宋体" w:eastAsia="宋体" w:cs="宋体"/>
                <w:color w:val="000000"/>
              </w:rPr>
              <w:t>财务机器人应用（中级）财务数字化应用</w:t>
            </w:r>
          </w:p>
          <w:p w14:paraId="33A011B4">
            <w:pPr>
              <w:pStyle w:val="65"/>
              <w:spacing w:after="120" w:line="400" w:lineRule="atLeast"/>
              <w:jc w:val="center"/>
              <w:rPr>
                <w:rFonts w:ascii="宋体" w:hAnsi="宋体" w:eastAsia="宋体" w:cs="宋体"/>
                <w:color w:val="000000"/>
              </w:rPr>
            </w:pPr>
            <w:r>
              <w:rPr>
                <w:rFonts w:hint="eastAsia" w:ascii="宋体" w:hAnsi="宋体" w:eastAsia="宋体" w:cs="宋体"/>
                <w:color w:val="000000"/>
              </w:rPr>
              <w:t>智能财税（中级）</w:t>
            </w:r>
          </w:p>
          <w:p w14:paraId="1ED3F8E4">
            <w:pPr>
              <w:pStyle w:val="65"/>
              <w:spacing w:after="120" w:line="400" w:lineRule="atLeast"/>
              <w:jc w:val="center"/>
              <w:rPr>
                <w:rFonts w:ascii="宋体" w:hAnsi="宋体" w:eastAsia="宋体" w:cs="宋体"/>
                <w:color w:val="000000"/>
              </w:rPr>
            </w:pPr>
            <w:r>
              <w:rPr>
                <w:rFonts w:hint="eastAsia" w:ascii="宋体" w:hAnsi="宋体" w:eastAsia="宋体" w:cs="宋体"/>
                <w:color w:val="000000"/>
              </w:rPr>
              <w:t>助理会计师</w:t>
            </w:r>
          </w:p>
          <w:p w14:paraId="44FFF5C8">
            <w:pPr>
              <w:pStyle w:val="65"/>
              <w:spacing w:after="120" w:line="400" w:lineRule="atLeast"/>
              <w:jc w:val="center"/>
              <w:rPr>
                <w:rFonts w:ascii="宋体" w:hAnsi="宋体" w:eastAsia="宋体" w:cs="宋体"/>
                <w:color w:val="000000"/>
              </w:rPr>
            </w:pPr>
          </w:p>
        </w:tc>
      </w:tr>
    </w:tbl>
    <w:p w14:paraId="41E9A0E2">
      <w:pPr>
        <w:overflowPunct w:val="0"/>
        <w:adjustRightInd w:val="0"/>
        <w:spacing w:after="0" w:line="440" w:lineRule="exact"/>
        <w:ind w:firstLine="482" w:firstLineChars="200"/>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 xml:space="preserve"> </w:t>
      </w:r>
      <w:bookmarkStart w:id="32" w:name="_Toc14926"/>
      <w:bookmarkStart w:id="33" w:name="_Toc77884975"/>
      <w:bookmarkStart w:id="34" w:name="_Toc77884773"/>
      <w:bookmarkStart w:id="35" w:name="_Toc23544"/>
      <w:r>
        <w:rPr>
          <w:rFonts w:hint="eastAsia" w:asciiTheme="minorEastAsia" w:hAnsiTheme="minorEastAsia" w:eastAsiaTheme="minorEastAsia"/>
          <w:sz w:val="28"/>
          <w:szCs w:val="28"/>
        </w:rPr>
        <w:t>中高职贯通会计信息管理专业毕业生面向制造、流通、金融、服务、房地产等行业的生产、管理、服务第一线从事会计核算、代理记账、纳税申报、税务代理、财务管理、金融管理、资产评估、财务分析、资产管理、成本核算、工资核算、纳税核算、往来结算、银行柜面出纳、银行信贷、银行结算、统计等等相关工作。</w:t>
      </w:r>
      <w:bookmarkEnd w:id="32"/>
      <w:bookmarkEnd w:id="33"/>
      <w:bookmarkEnd w:id="34"/>
      <w:bookmarkEnd w:id="35"/>
    </w:p>
    <w:p w14:paraId="3ACDC9B4">
      <w:pPr>
        <w:overflowPunct w:val="0"/>
        <w:adjustRightInd w:val="0"/>
        <w:spacing w:after="0" w:line="440" w:lineRule="exact"/>
        <w:ind w:firstLine="2741" w:firstLineChars="1300"/>
        <w:rPr>
          <w:rFonts w:asciiTheme="minorEastAsia" w:hAnsiTheme="minorEastAsia" w:eastAsiaTheme="minorEastAsia"/>
          <w:b/>
          <w:bCs/>
          <w:sz w:val="24"/>
          <w:szCs w:val="24"/>
        </w:rPr>
      </w:pPr>
      <w:r>
        <w:rPr>
          <w:rFonts w:hint="eastAsia" w:asciiTheme="minorEastAsia" w:hAnsiTheme="minorEastAsia" w:eastAsiaTheme="minorEastAsia"/>
          <w:b/>
          <w:bCs/>
          <w:sz w:val="21"/>
          <w:szCs w:val="21"/>
        </w:rPr>
        <w:t xml:space="preserve"> 职业岗位核心能力分析</w:t>
      </w:r>
    </w:p>
    <w:tbl>
      <w:tblPr>
        <w:tblStyle w:val="13"/>
        <w:tblW w:w="50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
        <w:gridCol w:w="884"/>
        <w:gridCol w:w="2613"/>
        <w:gridCol w:w="3442"/>
        <w:gridCol w:w="1288"/>
      </w:tblGrid>
      <w:tr w14:paraId="68BC2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55" w:type="pct"/>
            <w:vAlign w:val="center"/>
          </w:tcPr>
          <w:p w14:paraId="03BFE2CC">
            <w:pPr>
              <w:spacing w:after="0" w:line="280" w:lineRule="exact"/>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序号</w:t>
            </w:r>
          </w:p>
        </w:tc>
        <w:tc>
          <w:tcPr>
            <w:tcW w:w="510" w:type="pct"/>
            <w:vAlign w:val="center"/>
          </w:tcPr>
          <w:p w14:paraId="736C6EDE">
            <w:pPr>
              <w:spacing w:after="0" w:line="280" w:lineRule="exact"/>
              <w:jc w:val="center"/>
              <w:rPr>
                <w:b/>
                <w:bCs/>
                <w:color w:val="000000" w:themeColor="text1"/>
                <w:sz w:val="18"/>
                <w:szCs w:val="18"/>
                <w:lang w:val="zh-CN"/>
                <w14:textFill>
                  <w14:solidFill>
                    <w14:schemeClr w14:val="tx1"/>
                  </w14:solidFill>
                </w14:textFill>
              </w:rPr>
            </w:pPr>
            <w:r>
              <w:rPr>
                <w:rFonts w:hint="eastAsia"/>
                <w:b/>
                <w:bCs/>
                <w:color w:val="000000" w:themeColor="text1"/>
                <w:sz w:val="18"/>
                <w:szCs w:val="18"/>
                <w:lang w:val="zh-CN"/>
                <w14:textFill>
                  <w14:solidFill>
                    <w14:schemeClr w14:val="tx1"/>
                  </w14:solidFill>
                </w14:textFill>
              </w:rPr>
              <w:t>职业岗位</w:t>
            </w:r>
          </w:p>
        </w:tc>
        <w:tc>
          <w:tcPr>
            <w:tcW w:w="1506" w:type="pct"/>
            <w:vAlign w:val="center"/>
          </w:tcPr>
          <w:p w14:paraId="21E634C9">
            <w:pPr>
              <w:spacing w:after="0" w:line="280" w:lineRule="exact"/>
              <w:jc w:val="center"/>
              <w:rPr>
                <w:b/>
                <w:bCs/>
                <w:color w:val="000000" w:themeColor="text1"/>
                <w:sz w:val="18"/>
                <w:szCs w:val="18"/>
                <w:lang w:val="zh-CN"/>
                <w14:textFill>
                  <w14:solidFill>
                    <w14:schemeClr w14:val="tx1"/>
                  </w14:solidFill>
                </w14:textFill>
              </w:rPr>
            </w:pPr>
            <w:r>
              <w:rPr>
                <w:rFonts w:hint="eastAsia"/>
                <w:b/>
                <w:bCs/>
                <w:color w:val="000000" w:themeColor="text1"/>
                <w:sz w:val="18"/>
                <w:szCs w:val="18"/>
                <w:lang w:val="zh-CN"/>
                <w14:textFill>
                  <w14:solidFill>
                    <w14:schemeClr w14:val="tx1"/>
                  </w14:solidFill>
                </w14:textFill>
              </w:rPr>
              <w:t>主要工作任务</w:t>
            </w:r>
          </w:p>
        </w:tc>
        <w:tc>
          <w:tcPr>
            <w:tcW w:w="1984" w:type="pct"/>
            <w:vAlign w:val="center"/>
          </w:tcPr>
          <w:p w14:paraId="1783B97F">
            <w:pPr>
              <w:spacing w:after="0" w:line="280" w:lineRule="exact"/>
              <w:jc w:val="center"/>
              <w:rPr>
                <w:b/>
                <w:bCs/>
                <w:color w:val="000000" w:themeColor="text1"/>
                <w:sz w:val="18"/>
                <w:szCs w:val="18"/>
                <w:lang w:val="zh-CN"/>
                <w14:textFill>
                  <w14:solidFill>
                    <w14:schemeClr w14:val="tx1"/>
                  </w14:solidFill>
                </w14:textFill>
              </w:rPr>
            </w:pPr>
            <w:r>
              <w:rPr>
                <w:rFonts w:hint="eastAsia"/>
                <w:b/>
                <w:bCs/>
                <w:color w:val="000000" w:themeColor="text1"/>
                <w:sz w:val="18"/>
                <w:szCs w:val="18"/>
                <w:lang w:val="zh-CN"/>
                <w14:textFill>
                  <w14:solidFill>
                    <w14:schemeClr w14:val="tx1"/>
                  </w14:solidFill>
                </w14:textFill>
              </w:rPr>
              <w:t>职业能力</w:t>
            </w:r>
          </w:p>
        </w:tc>
        <w:tc>
          <w:tcPr>
            <w:tcW w:w="743" w:type="pct"/>
            <w:vAlign w:val="center"/>
          </w:tcPr>
          <w:p w14:paraId="336FF2A3">
            <w:pPr>
              <w:spacing w:after="0" w:line="280" w:lineRule="exact"/>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职业资格证书</w:t>
            </w:r>
          </w:p>
        </w:tc>
      </w:tr>
      <w:tr w14:paraId="10546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jc w:val="center"/>
        </w:trPr>
        <w:tc>
          <w:tcPr>
            <w:tcW w:w="255" w:type="pct"/>
            <w:vAlign w:val="center"/>
          </w:tcPr>
          <w:p w14:paraId="14EC8C32">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w:t>
            </w:r>
          </w:p>
        </w:tc>
        <w:tc>
          <w:tcPr>
            <w:tcW w:w="510" w:type="pct"/>
            <w:vAlign w:val="center"/>
          </w:tcPr>
          <w:p w14:paraId="51CB0C24">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出纳</w:t>
            </w:r>
          </w:p>
        </w:tc>
        <w:tc>
          <w:tcPr>
            <w:tcW w:w="1506" w:type="pct"/>
            <w:vAlign w:val="center"/>
          </w:tcPr>
          <w:p w14:paraId="759DA0D5">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银行账户的开立、使用与管理；</w:t>
            </w:r>
          </w:p>
          <w:p w14:paraId="3B3010D4">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库存现金的收付与保管；</w:t>
            </w:r>
          </w:p>
          <w:p w14:paraId="3E025BD3">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银行结算业务的办理；</w:t>
            </w:r>
          </w:p>
          <w:p w14:paraId="7B897A13">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现金、银行存款日记账的登记；</w:t>
            </w:r>
          </w:p>
          <w:p w14:paraId="641D3598">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有价证券、票据及印章的管理；</w:t>
            </w:r>
          </w:p>
          <w:p w14:paraId="4F9DEA73">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编制内部收付款报表。</w:t>
            </w:r>
          </w:p>
        </w:tc>
        <w:tc>
          <w:tcPr>
            <w:tcW w:w="1984" w:type="pct"/>
            <w:vAlign w:val="center"/>
          </w:tcPr>
          <w:p w14:paraId="78381CA2">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（1）能熟练办理现金收支结算业务、银行转账结算业务；</w:t>
            </w:r>
          </w:p>
          <w:p w14:paraId="1BAF7168">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（2）能明辨现金和各种银行结算票据的真伪；</w:t>
            </w:r>
          </w:p>
          <w:p w14:paraId="349E74AE">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（3）能按照规定保管现金和各种结算票据；</w:t>
            </w:r>
          </w:p>
          <w:p w14:paraId="3DEEFF24">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（4）能按照规定登记现金、银行存款日记账；</w:t>
            </w:r>
          </w:p>
          <w:p w14:paraId="14BEF04E">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（5）能按照规定核对现金和银行存款；</w:t>
            </w:r>
          </w:p>
          <w:p w14:paraId="7C15AD36">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（6）能灵活处理在货币资金结算过程中出现的差错。</w:t>
            </w:r>
          </w:p>
        </w:tc>
        <w:tc>
          <w:tcPr>
            <w:tcW w:w="743" w:type="pct"/>
            <w:vAlign w:val="center"/>
          </w:tcPr>
          <w:p w14:paraId="66A2D864">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初级会计师证</w:t>
            </w:r>
          </w:p>
        </w:tc>
      </w:tr>
      <w:tr w14:paraId="44B9A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6" w:hRule="atLeast"/>
          <w:jc w:val="center"/>
        </w:trPr>
        <w:tc>
          <w:tcPr>
            <w:tcW w:w="255" w:type="pct"/>
            <w:vAlign w:val="center"/>
          </w:tcPr>
          <w:p w14:paraId="1094B346">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w:t>
            </w:r>
          </w:p>
        </w:tc>
        <w:tc>
          <w:tcPr>
            <w:tcW w:w="510" w:type="pct"/>
            <w:vAlign w:val="center"/>
          </w:tcPr>
          <w:p w14:paraId="33AE477E">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记账会计</w:t>
            </w:r>
          </w:p>
        </w:tc>
        <w:tc>
          <w:tcPr>
            <w:tcW w:w="1506" w:type="pct"/>
            <w:vAlign w:val="center"/>
          </w:tcPr>
          <w:p w14:paraId="3FF9760E">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日常经济业务原始凭证识别、填制和审核；</w:t>
            </w:r>
          </w:p>
          <w:p w14:paraId="6032C349">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记账凭证的填制和审核；</w:t>
            </w:r>
          </w:p>
          <w:p w14:paraId="167ABD4F">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会计账簿的登记</w:t>
            </w:r>
          </w:p>
          <w:p w14:paraId="7DBD47DA">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sz w:val="18"/>
                <w:szCs w:val="18"/>
              </w:rPr>
              <w:t>财务报表的编制</w:t>
            </w:r>
          </w:p>
        </w:tc>
        <w:tc>
          <w:tcPr>
            <w:tcW w:w="1984" w:type="pct"/>
            <w:vAlign w:val="center"/>
          </w:tcPr>
          <w:p w14:paraId="617A7353">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（1）能明辨各种经济业务原始单据的正确性、完整性、合理性和合法性；</w:t>
            </w:r>
          </w:p>
          <w:p w14:paraId="31A71E2E">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（2）能正确判断各种原始单据所反映的经济业务内容、性质和类型；</w:t>
            </w:r>
          </w:p>
          <w:p w14:paraId="733D9B2E">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（3）能按照会计规范正确计量各种经济业务；</w:t>
            </w:r>
          </w:p>
          <w:p w14:paraId="1D773710">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（4）能按照企业会计准则确认记录企业发生的各种经济业务；</w:t>
            </w:r>
          </w:p>
          <w:p w14:paraId="01882454">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（5）能根据岗位分工进行电算化录入与处理。</w:t>
            </w:r>
          </w:p>
        </w:tc>
        <w:tc>
          <w:tcPr>
            <w:tcW w:w="743" w:type="pct"/>
            <w:vAlign w:val="center"/>
          </w:tcPr>
          <w:p w14:paraId="5EE650E1">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初级会计师证</w:t>
            </w:r>
          </w:p>
        </w:tc>
      </w:tr>
      <w:tr w14:paraId="6B63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255" w:type="pct"/>
            <w:vAlign w:val="center"/>
          </w:tcPr>
          <w:p w14:paraId="207887E7">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3</w:t>
            </w:r>
          </w:p>
        </w:tc>
        <w:tc>
          <w:tcPr>
            <w:tcW w:w="510" w:type="pct"/>
            <w:vAlign w:val="center"/>
          </w:tcPr>
          <w:p w14:paraId="4B027A4A">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成本会计</w:t>
            </w:r>
          </w:p>
        </w:tc>
        <w:tc>
          <w:tcPr>
            <w:tcW w:w="1506" w:type="pct"/>
            <w:vAlign w:val="center"/>
          </w:tcPr>
          <w:p w14:paraId="391A4CC3">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编制成本费用计划，进行要素费用的归集与分配；</w:t>
            </w:r>
          </w:p>
          <w:p w14:paraId="40FFB38D">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计算产品成本；</w:t>
            </w:r>
          </w:p>
          <w:p w14:paraId="2C97F27A">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编制成本费用报表，进行成本分析。</w:t>
            </w:r>
          </w:p>
        </w:tc>
        <w:tc>
          <w:tcPr>
            <w:tcW w:w="1984" w:type="pct"/>
            <w:vAlign w:val="center"/>
          </w:tcPr>
          <w:p w14:paraId="5C3E0C62">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（1）能结合各种产品、劳务和企业经营管理的特点和要求，采用灵活合理的方法正确计算产品和劳务的成本；</w:t>
            </w:r>
          </w:p>
          <w:p w14:paraId="536DF22D">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（2）能正确编制成本报表；</w:t>
            </w:r>
          </w:p>
          <w:p w14:paraId="3BF09BBD">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（3）能根据成本报表分析成本升降的原因。</w:t>
            </w:r>
          </w:p>
        </w:tc>
        <w:tc>
          <w:tcPr>
            <w:tcW w:w="743" w:type="pct"/>
            <w:vAlign w:val="center"/>
          </w:tcPr>
          <w:p w14:paraId="18937103">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初级会计师证</w:t>
            </w:r>
          </w:p>
        </w:tc>
      </w:tr>
      <w:tr w14:paraId="1E567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255" w:type="pct"/>
            <w:vAlign w:val="center"/>
          </w:tcPr>
          <w:p w14:paraId="59CC1BAE">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4</w:t>
            </w:r>
          </w:p>
        </w:tc>
        <w:tc>
          <w:tcPr>
            <w:tcW w:w="510" w:type="pct"/>
            <w:vAlign w:val="center"/>
          </w:tcPr>
          <w:p w14:paraId="064EC8CB">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税务会计</w:t>
            </w:r>
          </w:p>
        </w:tc>
        <w:tc>
          <w:tcPr>
            <w:tcW w:w="1506" w:type="pct"/>
            <w:vAlign w:val="center"/>
          </w:tcPr>
          <w:p w14:paraId="1779BA69">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税务登记办理；</w:t>
            </w:r>
          </w:p>
          <w:p w14:paraId="33F11D7F">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税款计算与申报。</w:t>
            </w:r>
          </w:p>
        </w:tc>
        <w:tc>
          <w:tcPr>
            <w:tcW w:w="1984" w:type="pct"/>
            <w:vAlign w:val="center"/>
          </w:tcPr>
          <w:p w14:paraId="44055253">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（1）能办理企业税务登记、发票申购等涉税业务；</w:t>
            </w:r>
          </w:p>
          <w:p w14:paraId="1B34150B">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（2）能按照国家税收法规及其他相关政策正确计算应缴纳的各种税费；</w:t>
            </w:r>
          </w:p>
          <w:p w14:paraId="38180723">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（3）能熟练运用税收网络申报系统向主管税务机关申报应缴纳的各种税费。</w:t>
            </w:r>
          </w:p>
        </w:tc>
        <w:tc>
          <w:tcPr>
            <w:tcW w:w="743" w:type="pct"/>
            <w:vAlign w:val="center"/>
          </w:tcPr>
          <w:p w14:paraId="0CD68FC7">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中级会计师证</w:t>
            </w:r>
          </w:p>
        </w:tc>
      </w:tr>
      <w:tr w14:paraId="3F3A7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7" w:hRule="atLeast"/>
          <w:jc w:val="center"/>
        </w:trPr>
        <w:tc>
          <w:tcPr>
            <w:tcW w:w="255" w:type="pct"/>
            <w:vAlign w:val="center"/>
          </w:tcPr>
          <w:p w14:paraId="756F9A3A">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5</w:t>
            </w:r>
          </w:p>
        </w:tc>
        <w:tc>
          <w:tcPr>
            <w:tcW w:w="510" w:type="pct"/>
            <w:vAlign w:val="center"/>
          </w:tcPr>
          <w:p w14:paraId="557CA7D8">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财务管理</w:t>
            </w:r>
          </w:p>
        </w:tc>
        <w:tc>
          <w:tcPr>
            <w:tcW w:w="1506" w:type="pct"/>
            <w:vAlign w:val="center"/>
          </w:tcPr>
          <w:p w14:paraId="2A3FDE37">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资金筹集与管理；</w:t>
            </w:r>
          </w:p>
          <w:p w14:paraId="6F3CA82A">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投资管理；</w:t>
            </w:r>
          </w:p>
          <w:p w14:paraId="050C3857">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营运管理；</w:t>
            </w:r>
          </w:p>
          <w:p w14:paraId="40DA166E">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财产物资管理；</w:t>
            </w:r>
          </w:p>
          <w:p w14:paraId="099B55FA">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收益分配管理；</w:t>
            </w:r>
          </w:p>
          <w:p w14:paraId="273E0D65">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预算编制、执行、控制及考核与评价；</w:t>
            </w:r>
          </w:p>
          <w:p w14:paraId="1294B0AA">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理财规划。</w:t>
            </w:r>
          </w:p>
        </w:tc>
        <w:tc>
          <w:tcPr>
            <w:tcW w:w="1984" w:type="pct"/>
            <w:vAlign w:val="center"/>
          </w:tcPr>
          <w:p w14:paraId="6D4A1C7B">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（1）能熟练地运用企业筹集资金的渠道和方式；</w:t>
            </w:r>
          </w:p>
          <w:p w14:paraId="4F3399C3">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（2）能正确地理解并利用企业资产营运的基本原则和方法；</w:t>
            </w:r>
          </w:p>
          <w:p w14:paraId="099EAA15">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（3）合理规避企业经营管理中存在的风险；</w:t>
            </w:r>
          </w:p>
          <w:p w14:paraId="26EF8BBF">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（4）结合企业实际情况合理地确定收益分配的原则并正确执行。</w:t>
            </w:r>
          </w:p>
        </w:tc>
        <w:tc>
          <w:tcPr>
            <w:tcW w:w="743" w:type="pct"/>
            <w:vAlign w:val="center"/>
          </w:tcPr>
          <w:p w14:paraId="4ED0E6FE">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中级会计师证</w:t>
            </w:r>
          </w:p>
        </w:tc>
      </w:tr>
      <w:tr w14:paraId="07BDD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55" w:type="pct"/>
            <w:vAlign w:val="center"/>
          </w:tcPr>
          <w:p w14:paraId="412D2190">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6</w:t>
            </w:r>
          </w:p>
        </w:tc>
        <w:tc>
          <w:tcPr>
            <w:tcW w:w="510" w:type="pct"/>
            <w:vAlign w:val="center"/>
          </w:tcPr>
          <w:p w14:paraId="7B6D5618">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财务审计</w:t>
            </w:r>
          </w:p>
        </w:tc>
        <w:tc>
          <w:tcPr>
            <w:tcW w:w="1506" w:type="pct"/>
            <w:vAlign w:val="center"/>
          </w:tcPr>
          <w:p w14:paraId="2C8CCD2F">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清产核资；</w:t>
            </w:r>
          </w:p>
          <w:p w14:paraId="30A83E4B">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资产评估；</w:t>
            </w:r>
          </w:p>
          <w:p w14:paraId="416AA241">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报表审计。</w:t>
            </w:r>
          </w:p>
        </w:tc>
        <w:tc>
          <w:tcPr>
            <w:tcW w:w="1984" w:type="pct"/>
            <w:vAlign w:val="center"/>
          </w:tcPr>
          <w:p w14:paraId="32DF7DBE">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（1）正确地核对客户各项资产、负债账目，提出合规性建议；</w:t>
            </w:r>
          </w:p>
          <w:p w14:paraId="42E7AB9A">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（2）了解资产评估的方法，合理地对被评估对象进行价值再确认，并提供评估报告；</w:t>
            </w:r>
          </w:p>
          <w:p w14:paraId="4CAF1B05">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（3）熟悉审计的基本程序和方法，能在注册会计师的指导下，收集审计证据，整理审计工作底稿，出具审计报告。</w:t>
            </w:r>
          </w:p>
          <w:p w14:paraId="74AC741E">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（4）能规范整理清产核资、资产评估及审计中各项资料，并建立档案；</w:t>
            </w:r>
          </w:p>
          <w:p w14:paraId="16EF92EB">
            <w:pPr>
              <w:spacing w:after="0" w:line="320" w:lineRule="exact"/>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（5）对客户的各项资料保密。</w:t>
            </w:r>
          </w:p>
        </w:tc>
        <w:tc>
          <w:tcPr>
            <w:tcW w:w="743" w:type="pct"/>
          </w:tcPr>
          <w:p w14:paraId="7FE40A1F">
            <w:pPr>
              <w:spacing w:after="0" w:line="320" w:lineRule="exact"/>
              <w:jc w:val="center"/>
              <w:rPr>
                <w:rFonts w:ascii="宋体" w:hAnsi="宋体" w:eastAsia="宋体" w:cs="宋体"/>
                <w:color w:val="000000" w:themeColor="text1"/>
                <w:sz w:val="18"/>
                <w:szCs w:val="18"/>
                <w14:textFill>
                  <w14:solidFill>
                    <w14:schemeClr w14:val="tx1"/>
                  </w14:solidFill>
                </w14:textFill>
              </w:rPr>
            </w:pPr>
          </w:p>
          <w:p w14:paraId="6A6555C6">
            <w:pPr>
              <w:spacing w:after="0" w:line="320" w:lineRule="exact"/>
              <w:jc w:val="center"/>
              <w:rPr>
                <w:rFonts w:ascii="宋体" w:hAnsi="宋体" w:eastAsia="宋体" w:cs="宋体"/>
                <w:color w:val="000000" w:themeColor="text1"/>
                <w:sz w:val="18"/>
                <w:szCs w:val="18"/>
                <w14:textFill>
                  <w14:solidFill>
                    <w14:schemeClr w14:val="tx1"/>
                  </w14:solidFill>
                </w14:textFill>
              </w:rPr>
            </w:pPr>
          </w:p>
          <w:p w14:paraId="4C98795A">
            <w:pPr>
              <w:spacing w:after="0" w:line="320" w:lineRule="exact"/>
              <w:jc w:val="center"/>
              <w:rPr>
                <w:rFonts w:ascii="宋体" w:hAnsi="宋体" w:eastAsia="宋体" w:cs="宋体"/>
                <w:color w:val="000000" w:themeColor="text1"/>
                <w:sz w:val="18"/>
                <w:szCs w:val="18"/>
                <w14:textFill>
                  <w14:solidFill>
                    <w14:schemeClr w14:val="tx1"/>
                  </w14:solidFill>
                </w14:textFill>
              </w:rPr>
            </w:pPr>
          </w:p>
          <w:p w14:paraId="1074452B">
            <w:pPr>
              <w:spacing w:after="0" w:line="320" w:lineRule="exact"/>
              <w:jc w:val="center"/>
              <w:rPr>
                <w:rFonts w:ascii="宋体" w:hAnsi="宋体" w:eastAsia="宋体" w:cs="宋体"/>
                <w:color w:val="000000" w:themeColor="text1"/>
                <w:sz w:val="18"/>
                <w:szCs w:val="18"/>
                <w14:textFill>
                  <w14:solidFill>
                    <w14:schemeClr w14:val="tx1"/>
                  </w14:solidFill>
                </w14:textFill>
              </w:rPr>
            </w:pPr>
          </w:p>
          <w:p w14:paraId="578E436F">
            <w:pPr>
              <w:spacing w:after="0" w:line="320" w:lineRule="exact"/>
              <w:jc w:val="both"/>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中级会计师证</w:t>
            </w:r>
          </w:p>
        </w:tc>
      </w:tr>
    </w:tbl>
    <w:p w14:paraId="190A1C0B">
      <w:pPr>
        <w:overflowPunct w:val="0"/>
        <w:adjustRightInd w:val="0"/>
        <w:spacing w:after="0" w:line="440" w:lineRule="exact"/>
        <w:jc w:val="center"/>
        <w:rPr>
          <w:rFonts w:asciiTheme="minorEastAsia" w:hAnsiTheme="minorEastAsia" w:eastAsiaTheme="minorEastAsia"/>
          <w:b/>
          <w:bCs/>
          <w:sz w:val="24"/>
          <w:szCs w:val="24"/>
        </w:rPr>
      </w:pPr>
      <w:r>
        <w:rPr>
          <w:rFonts w:hint="eastAsia" w:asciiTheme="minorEastAsia" w:hAnsiTheme="minorEastAsia" w:eastAsiaTheme="minorEastAsia"/>
          <w:b/>
          <w:bCs/>
          <w:sz w:val="21"/>
          <w:szCs w:val="21"/>
        </w:rPr>
        <w:t>会计信息化专业相关执业资格证书</w:t>
      </w:r>
    </w:p>
    <w:tbl>
      <w:tblPr>
        <w:tblStyle w:val="13"/>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3164"/>
        <w:gridCol w:w="2504"/>
        <w:gridCol w:w="1418"/>
        <w:gridCol w:w="1275"/>
      </w:tblGrid>
      <w:tr w14:paraId="4268A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19" w:type="dxa"/>
            <w:vAlign w:val="center"/>
          </w:tcPr>
          <w:p w14:paraId="33E2962F">
            <w:pPr>
              <w:spacing w:after="0" w:line="280" w:lineRule="exact"/>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序号</w:t>
            </w:r>
          </w:p>
        </w:tc>
        <w:tc>
          <w:tcPr>
            <w:tcW w:w="3164" w:type="dxa"/>
            <w:vAlign w:val="center"/>
          </w:tcPr>
          <w:p w14:paraId="16A847CB">
            <w:pPr>
              <w:spacing w:after="0" w:line="280" w:lineRule="exact"/>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职业资格（证书）名称</w:t>
            </w:r>
          </w:p>
        </w:tc>
        <w:tc>
          <w:tcPr>
            <w:tcW w:w="2504" w:type="dxa"/>
            <w:vAlign w:val="center"/>
          </w:tcPr>
          <w:p w14:paraId="50D6EB7F">
            <w:pPr>
              <w:spacing w:after="0" w:line="280" w:lineRule="exact"/>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发证单位</w:t>
            </w:r>
          </w:p>
        </w:tc>
        <w:tc>
          <w:tcPr>
            <w:tcW w:w="1418" w:type="dxa"/>
            <w:vAlign w:val="center"/>
          </w:tcPr>
          <w:p w14:paraId="60153C2E">
            <w:pPr>
              <w:spacing w:after="0" w:line="280" w:lineRule="exact"/>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等级</w:t>
            </w:r>
          </w:p>
        </w:tc>
        <w:tc>
          <w:tcPr>
            <w:tcW w:w="1275" w:type="dxa"/>
            <w:vAlign w:val="center"/>
          </w:tcPr>
          <w:p w14:paraId="29B290C5">
            <w:pPr>
              <w:spacing w:after="0" w:line="280" w:lineRule="exact"/>
              <w:jc w:val="center"/>
              <w:rPr>
                <w:b/>
                <w:bCs/>
                <w:color w:val="000000" w:themeColor="text1"/>
                <w:sz w:val="18"/>
                <w:szCs w:val="18"/>
                <w14:textFill>
                  <w14:solidFill>
                    <w14:schemeClr w14:val="tx1"/>
                  </w14:solidFill>
                </w14:textFill>
              </w:rPr>
            </w:pPr>
            <w:r>
              <w:rPr>
                <w:rFonts w:hint="eastAsia"/>
                <w:b/>
                <w:bCs/>
                <w:color w:val="000000" w:themeColor="text1"/>
                <w:sz w:val="18"/>
                <w:szCs w:val="18"/>
                <w14:textFill>
                  <w14:solidFill>
                    <w14:schemeClr w14:val="tx1"/>
                  </w14:solidFill>
                </w14:textFill>
              </w:rPr>
              <w:t>应取证书</w:t>
            </w:r>
          </w:p>
        </w:tc>
      </w:tr>
      <w:tr w14:paraId="135E9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819" w:type="dxa"/>
            <w:vAlign w:val="center"/>
          </w:tcPr>
          <w:p w14:paraId="4454C382">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w:t>
            </w:r>
          </w:p>
        </w:tc>
        <w:tc>
          <w:tcPr>
            <w:tcW w:w="3164" w:type="dxa"/>
            <w:vAlign w:val="center"/>
          </w:tcPr>
          <w:p w14:paraId="02DD1930">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全国计算机等级考试（NCRE）证书</w:t>
            </w:r>
          </w:p>
        </w:tc>
        <w:tc>
          <w:tcPr>
            <w:tcW w:w="2504" w:type="dxa"/>
            <w:vAlign w:val="center"/>
          </w:tcPr>
          <w:p w14:paraId="771BFA6F">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教育部考试中心</w:t>
            </w:r>
          </w:p>
        </w:tc>
        <w:tc>
          <w:tcPr>
            <w:tcW w:w="1418" w:type="dxa"/>
            <w:vAlign w:val="center"/>
          </w:tcPr>
          <w:p w14:paraId="076376C8">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二级</w:t>
            </w:r>
          </w:p>
        </w:tc>
        <w:tc>
          <w:tcPr>
            <w:tcW w:w="1275" w:type="dxa"/>
            <w:vAlign w:val="center"/>
          </w:tcPr>
          <w:p w14:paraId="0DD083D7">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必取</w:t>
            </w:r>
          </w:p>
        </w:tc>
      </w:tr>
      <w:tr w14:paraId="38874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819" w:type="dxa"/>
            <w:vAlign w:val="center"/>
          </w:tcPr>
          <w:p w14:paraId="2ECF5CC1">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2</w:t>
            </w:r>
          </w:p>
        </w:tc>
        <w:tc>
          <w:tcPr>
            <w:tcW w:w="3164" w:type="dxa"/>
            <w:vAlign w:val="center"/>
          </w:tcPr>
          <w:p w14:paraId="64262D3B">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普通话等级证</w:t>
            </w:r>
          </w:p>
        </w:tc>
        <w:tc>
          <w:tcPr>
            <w:tcW w:w="2504" w:type="dxa"/>
            <w:vAlign w:val="center"/>
          </w:tcPr>
          <w:p w14:paraId="27A21776">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甘肃省语言文字工作委员会</w:t>
            </w:r>
          </w:p>
        </w:tc>
        <w:tc>
          <w:tcPr>
            <w:tcW w:w="1418" w:type="dxa"/>
            <w:vAlign w:val="center"/>
          </w:tcPr>
          <w:p w14:paraId="106ADA58">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二级乙等</w:t>
            </w:r>
          </w:p>
        </w:tc>
        <w:tc>
          <w:tcPr>
            <w:tcW w:w="1275" w:type="dxa"/>
            <w:vAlign w:val="center"/>
          </w:tcPr>
          <w:p w14:paraId="6E471897">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选取</w:t>
            </w:r>
          </w:p>
        </w:tc>
      </w:tr>
      <w:tr w14:paraId="20F57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19" w:type="dxa"/>
            <w:vAlign w:val="center"/>
          </w:tcPr>
          <w:p w14:paraId="3814ECCA">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3</w:t>
            </w:r>
          </w:p>
        </w:tc>
        <w:tc>
          <w:tcPr>
            <w:tcW w:w="3164" w:type="dxa"/>
            <w:vAlign w:val="center"/>
          </w:tcPr>
          <w:p w14:paraId="15CCDF59">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初级会计资格证书</w:t>
            </w:r>
          </w:p>
        </w:tc>
        <w:tc>
          <w:tcPr>
            <w:tcW w:w="2504" w:type="dxa"/>
            <w:vAlign w:val="center"/>
          </w:tcPr>
          <w:p w14:paraId="6FA10443">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财政部</w:t>
            </w:r>
          </w:p>
        </w:tc>
        <w:tc>
          <w:tcPr>
            <w:tcW w:w="1418" w:type="dxa"/>
            <w:vAlign w:val="center"/>
          </w:tcPr>
          <w:p w14:paraId="0F2D819E">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w:t>
            </w:r>
          </w:p>
        </w:tc>
        <w:tc>
          <w:tcPr>
            <w:tcW w:w="1275" w:type="dxa"/>
            <w:vAlign w:val="center"/>
          </w:tcPr>
          <w:p w14:paraId="5FD246DD">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必取</w:t>
            </w:r>
          </w:p>
        </w:tc>
      </w:tr>
      <w:tr w14:paraId="0BF9A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19" w:type="dxa"/>
            <w:vAlign w:val="center"/>
          </w:tcPr>
          <w:p w14:paraId="04B724A2">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4</w:t>
            </w:r>
          </w:p>
        </w:tc>
        <w:tc>
          <w:tcPr>
            <w:tcW w:w="3164" w:type="dxa"/>
            <w:vAlign w:val="center"/>
          </w:tcPr>
          <w:p w14:paraId="01050950">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会计人才成熟度认证</w:t>
            </w:r>
          </w:p>
          <w:p w14:paraId="3942E6DA">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CMAC认证</w:t>
            </w:r>
          </w:p>
        </w:tc>
        <w:tc>
          <w:tcPr>
            <w:tcW w:w="2504" w:type="dxa"/>
            <w:vAlign w:val="center"/>
          </w:tcPr>
          <w:p w14:paraId="569F1A27">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人社部</w:t>
            </w:r>
          </w:p>
        </w:tc>
        <w:tc>
          <w:tcPr>
            <w:tcW w:w="1418" w:type="dxa"/>
            <w:vAlign w:val="center"/>
          </w:tcPr>
          <w:p w14:paraId="30BB311F">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初、中级工</w:t>
            </w:r>
          </w:p>
        </w:tc>
        <w:tc>
          <w:tcPr>
            <w:tcW w:w="1275" w:type="dxa"/>
            <w:vAlign w:val="center"/>
          </w:tcPr>
          <w:p w14:paraId="18583BC5">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选取</w:t>
            </w:r>
          </w:p>
        </w:tc>
      </w:tr>
      <w:tr w14:paraId="52979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19" w:type="dxa"/>
            <w:vAlign w:val="center"/>
          </w:tcPr>
          <w:p w14:paraId="04C75321">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5</w:t>
            </w:r>
          </w:p>
        </w:tc>
        <w:tc>
          <w:tcPr>
            <w:tcW w:w="3164" w:type="dxa"/>
            <w:vAlign w:val="center"/>
          </w:tcPr>
          <w:p w14:paraId="6DCCBBE7">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英语应用能力考试A级证书</w:t>
            </w:r>
          </w:p>
        </w:tc>
        <w:tc>
          <w:tcPr>
            <w:tcW w:w="2504" w:type="dxa"/>
            <w:vAlign w:val="center"/>
          </w:tcPr>
          <w:p w14:paraId="62517F7B">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教育部</w:t>
            </w:r>
          </w:p>
        </w:tc>
        <w:tc>
          <w:tcPr>
            <w:tcW w:w="1418" w:type="dxa"/>
            <w:vAlign w:val="center"/>
          </w:tcPr>
          <w:p w14:paraId="6B94878B">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A 级</w:t>
            </w:r>
          </w:p>
        </w:tc>
        <w:tc>
          <w:tcPr>
            <w:tcW w:w="1275" w:type="dxa"/>
            <w:vAlign w:val="center"/>
          </w:tcPr>
          <w:p w14:paraId="3C20D4FC">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选取</w:t>
            </w:r>
          </w:p>
        </w:tc>
      </w:tr>
      <w:tr w14:paraId="04692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819" w:type="dxa"/>
            <w:vAlign w:val="center"/>
          </w:tcPr>
          <w:p w14:paraId="1D03310E">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6</w:t>
            </w:r>
          </w:p>
        </w:tc>
        <w:tc>
          <w:tcPr>
            <w:tcW w:w="3164" w:type="dxa"/>
            <w:vAlign w:val="center"/>
          </w:tcPr>
          <w:p w14:paraId="1E7DA51A">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1+X职业技能等级证书（若干）</w:t>
            </w:r>
          </w:p>
        </w:tc>
        <w:tc>
          <w:tcPr>
            <w:tcW w:w="2504" w:type="dxa"/>
          </w:tcPr>
          <w:p w14:paraId="5533A711">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职业评价组织</w:t>
            </w:r>
          </w:p>
        </w:tc>
        <w:tc>
          <w:tcPr>
            <w:tcW w:w="1418" w:type="dxa"/>
            <w:vAlign w:val="center"/>
          </w:tcPr>
          <w:p w14:paraId="399D2219">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初级、中级</w:t>
            </w:r>
          </w:p>
        </w:tc>
        <w:tc>
          <w:tcPr>
            <w:tcW w:w="1275" w:type="dxa"/>
            <w:vAlign w:val="center"/>
          </w:tcPr>
          <w:p w14:paraId="5C31FAA3">
            <w:pPr>
              <w:spacing w:after="0" w:line="320" w:lineRule="exact"/>
              <w:jc w:val="center"/>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必取</w:t>
            </w:r>
          </w:p>
        </w:tc>
      </w:tr>
    </w:tbl>
    <w:p w14:paraId="51CD1EE9">
      <w:pPr>
        <w:pStyle w:val="2"/>
        <w:snapToGrid w:val="0"/>
        <w:spacing w:before="156" w:beforeLines="50" w:after="156" w:afterLines="50" w:line="440" w:lineRule="exact"/>
        <w:ind w:firstLine="582" w:firstLineChars="200"/>
        <w:rPr>
          <w:rFonts w:ascii="Cambria" w:hAnsi="Cambria" w:eastAsia="宋体" w:cs="Times New Roman"/>
          <w:bCs/>
          <w:szCs w:val="28"/>
        </w:rPr>
      </w:pPr>
      <w:r>
        <w:rPr>
          <w:rFonts w:hint="eastAsia" w:ascii="Cambria" w:hAnsi="Cambria" w:eastAsia="宋体" w:cs="Times New Roman"/>
          <w:bCs/>
          <w:szCs w:val="28"/>
        </w:rPr>
        <w:t>五、培养目标与培养规格</w:t>
      </w:r>
    </w:p>
    <w:p w14:paraId="45279F18">
      <w:pPr>
        <w:pStyle w:val="2"/>
        <w:snapToGrid w:val="0"/>
        <w:spacing w:before="156" w:beforeLines="50" w:after="156" w:afterLines="50" w:line="440" w:lineRule="exact"/>
        <w:ind w:firstLine="582" w:firstLineChars="200"/>
        <w:rPr>
          <w:rFonts w:ascii="Cambria" w:hAnsi="Cambria" w:eastAsia="宋体" w:cs="Times New Roman"/>
          <w:bCs/>
          <w:szCs w:val="28"/>
        </w:rPr>
      </w:pPr>
      <w:r>
        <w:rPr>
          <w:rFonts w:hint="eastAsia" w:ascii="Cambria" w:hAnsi="Cambria" w:eastAsia="宋体" w:cs="Times New Roman"/>
          <w:bCs/>
          <w:szCs w:val="28"/>
        </w:rPr>
        <w:t>（一）中职学段</w:t>
      </w:r>
    </w:p>
    <w:p w14:paraId="1C0F3C61">
      <w:pPr>
        <w:pStyle w:val="2"/>
        <w:snapToGrid w:val="0"/>
        <w:spacing w:before="156" w:beforeLines="50" w:after="156" w:afterLines="50" w:line="440" w:lineRule="exact"/>
        <w:ind w:firstLine="582" w:firstLineChars="200"/>
        <w:rPr>
          <w:rFonts w:ascii="黑体" w:hAnsi="黑体" w:eastAsia="黑体"/>
          <w:sz w:val="30"/>
          <w:szCs w:val="30"/>
        </w:rPr>
      </w:pPr>
      <w:r>
        <w:rPr>
          <w:rFonts w:hint="eastAsia" w:ascii="Cambria" w:hAnsi="Cambria" w:eastAsia="宋体" w:cs="Times New Roman"/>
          <w:bCs/>
          <w:szCs w:val="28"/>
        </w:rPr>
        <w:t>1.培养目标</w:t>
      </w:r>
    </w:p>
    <w:p w14:paraId="0F8C14DB">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本专业以习近平新时代中国特色社会主义思想为指导，落实党和国家立德树人根本任务，培养理想信念坚定，德、智、体、美、劳全面发展，具有一定科学文化水平，良好的人文素养、职业道德和创新意识，精益求精的工匠精神，较强的就业创业能力和可持续发展能力。掌握财经法规、企业财务会计核算，具备财务与业务一体化、互联网会计技术服务、智能化工具操作等本专业知识和技术技能，面向各类中小微企业、企事业单位、财务共享中心、会计咨询服务公司等行业企业，从事收银、出纳、会计核算、财税咨询及服务和会计处理数据分析与应用等岗位的高素质劳动者和技术技能人才。</w:t>
      </w:r>
    </w:p>
    <w:p w14:paraId="0C08D134">
      <w:pPr>
        <w:widowControl w:val="0"/>
        <w:spacing w:after="0" w:line="312" w:lineRule="auto"/>
        <w:ind w:firstLine="562" w:firstLineChars="200"/>
        <w:jc w:val="both"/>
        <w:rPr>
          <w:rFonts w:ascii="宋体" w:hAnsi="宋体" w:eastAsia="宋体" w:cs="宋体"/>
          <w:b/>
          <w:iCs/>
          <w:kern w:val="2"/>
          <w:sz w:val="28"/>
          <w:szCs w:val="28"/>
        </w:rPr>
      </w:pPr>
      <w:r>
        <w:rPr>
          <w:rFonts w:hint="eastAsia" w:ascii="宋体" w:hAnsi="宋体" w:eastAsia="宋体" w:cs="宋体"/>
          <w:b/>
          <w:iCs/>
          <w:kern w:val="2"/>
          <w:sz w:val="28"/>
          <w:szCs w:val="28"/>
        </w:rPr>
        <w:t>2.培养规格</w:t>
      </w:r>
    </w:p>
    <w:p w14:paraId="494E81D8">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1）基本素质：具有正确的世界观、人生观、价值观。坚决拥护中国共产党领导，树立中国特色社会主义共同理想，践行社会主义核心价值观，具有深厚的爱国情感、国家认同感、中华民族自豪感；崇尚宪法、遵守法律、遵规守纪；具有社会责任感和参与意识。</w:t>
      </w:r>
    </w:p>
    <w:p w14:paraId="63D82005">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具有良好的职业道德和职业素养。崇德向善、诚实守信、爱岗敬业，具有精益求精的工匠精神；尊重劳动、热爱劳动，具有较强的实践能力；具有质量意识、绿色环保意识、安全意识、信息素养、创新精神；具有较强的集体意识和团队合作精神，能够进行有效的人际沟通和协作，与社会、自然和谐共处；具有职业生涯规划意识。</w:t>
      </w:r>
    </w:p>
    <w:p w14:paraId="755156E0">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具有良好的身心素质和人文素养。具有健康的体魄和心理、健全的人格，能够掌握基本运动知识和一两项运动技能；具有感受美、表现美、鉴赏美、创造美的能力，具有一定的审美和人文素养，能够形成一两项艺术特长或爱好；掌握一定的学习方法，具有良好的生活习惯、行为习惯和自我管理能力。</w:t>
      </w:r>
    </w:p>
    <w:p w14:paraId="4C7EC144">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（2）外语能力：具有英语应用能力，能处理本专业的英文技术文件。</w:t>
      </w:r>
    </w:p>
    <w:p w14:paraId="35C92B24">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（3）计算机应用能力：具备较强的计算机文字处理能力和计算机数据处理能力，熟练账务Excel电子表格在财务中的应用，熟练掌握办公应用软件，能熟练地运用计算机进行账务处理。</w:t>
      </w:r>
    </w:p>
    <w:p w14:paraId="0188CAF7">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4）基本知识和基本技能要求：①掌握企业管理的基本原理和经济学的基本理论以及经济法规的基础知识；②掌握财务、金融管理的定性、定量分析方法；③具有较强的语言与文字表述、人际沟通、信息获取能力以及分析和解决企业管理工作实际问题的基本能力；④熟悉我国财务、金融管理的相关方针、政策和法规以及国际惯例；⑤了解本学科的理论前沿和发展动态。</w:t>
      </w:r>
    </w:p>
    <w:p w14:paraId="77DF12C2">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（5）核心能力：具备管理、经济、法律、理财和金融等方面知识和技能，能在工商、金融及其他企、事业单位从事财务筹划、筹资管理、营运资金管理、投资管理、金融管理以及风险控制等方面工作。</w:t>
      </w:r>
    </w:p>
    <w:p w14:paraId="43DFA30D">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（6）创新与创业精神：具有自主学习新知识能力，在开发、设计和实现中进行独立思考能力，具有创业意识，勇于尝试。</w:t>
      </w:r>
    </w:p>
    <w:p w14:paraId="757EF16D">
      <w:pPr>
        <w:widowControl w:val="0"/>
        <w:spacing w:after="0" w:line="312" w:lineRule="auto"/>
        <w:ind w:firstLine="562" w:firstLineChars="200"/>
        <w:jc w:val="both"/>
        <w:rPr>
          <w:rFonts w:ascii="宋体" w:hAnsi="宋体" w:eastAsia="宋体" w:cs="宋体"/>
          <w:b/>
          <w:iCs/>
          <w:kern w:val="2"/>
          <w:sz w:val="28"/>
          <w:szCs w:val="28"/>
        </w:rPr>
      </w:pPr>
      <w:r>
        <w:rPr>
          <w:rFonts w:hint="eastAsia" w:ascii="宋体" w:hAnsi="宋体" w:eastAsia="宋体" w:cs="宋体"/>
          <w:b/>
          <w:iCs/>
          <w:kern w:val="2"/>
          <w:sz w:val="28"/>
          <w:szCs w:val="28"/>
        </w:rPr>
        <w:t>（二）高职学段</w:t>
      </w:r>
    </w:p>
    <w:p w14:paraId="2200DC49">
      <w:pPr>
        <w:widowControl w:val="0"/>
        <w:spacing w:after="0" w:line="312" w:lineRule="auto"/>
        <w:ind w:firstLine="562" w:firstLineChars="200"/>
        <w:jc w:val="both"/>
        <w:rPr>
          <w:rFonts w:ascii="宋体" w:hAnsi="宋体" w:eastAsia="宋体" w:cs="宋体"/>
          <w:bCs/>
          <w:iCs/>
          <w:kern w:val="2"/>
          <w:sz w:val="28"/>
          <w:szCs w:val="28"/>
        </w:rPr>
      </w:pPr>
      <w:r>
        <w:rPr>
          <w:rFonts w:hint="eastAsia" w:ascii="宋体" w:hAnsi="宋体" w:eastAsia="宋体" w:cs="宋体"/>
          <w:b/>
          <w:iCs/>
          <w:kern w:val="2"/>
          <w:sz w:val="28"/>
          <w:szCs w:val="28"/>
        </w:rPr>
        <w:t>1.培养目标</w:t>
      </w:r>
    </w:p>
    <w:p w14:paraId="160F8F66">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本专业以习近平新时代中国特色社会主义思想为指导，落实党和国家立德树人根本任务，培养理想信念坚定，德、智、体、美、劳全面发展，具有一定科学文化水平，良好的人文素养、职业道德和创新意识，精益求精的工匠精神，较强的就业创业能力和可持续发展能力。掌握财经法规、企业财务会计核算，具备财务与业务一体化、互联网会计技术服务、智能化工具操作等本专业知识和技术技能。具有较强的学习能力、沟通能力和协作能力，立足兰州，服务兰州新区，面向西北地区旅游商贸产业、农村商贸产业的具备“厚德、博学、立业、报国”的复合型技术技能人才。</w:t>
      </w:r>
    </w:p>
    <w:p w14:paraId="6DFCFC57">
      <w:pPr>
        <w:widowControl w:val="0"/>
        <w:spacing w:after="0" w:line="312" w:lineRule="auto"/>
        <w:ind w:firstLine="562" w:firstLineChars="200"/>
        <w:jc w:val="both"/>
        <w:rPr>
          <w:rFonts w:ascii="宋体" w:hAnsi="宋体" w:eastAsia="宋体" w:cs="宋体"/>
          <w:b/>
          <w:iCs/>
          <w:kern w:val="2"/>
          <w:sz w:val="28"/>
          <w:szCs w:val="28"/>
        </w:rPr>
      </w:pPr>
      <w:r>
        <w:rPr>
          <w:rFonts w:hint="eastAsia" w:ascii="宋体" w:hAnsi="宋体" w:eastAsia="宋体" w:cs="宋体"/>
          <w:b/>
          <w:iCs/>
          <w:kern w:val="2"/>
          <w:sz w:val="28"/>
          <w:szCs w:val="28"/>
        </w:rPr>
        <w:t>2.培养规格</w:t>
      </w:r>
    </w:p>
    <w:p w14:paraId="1D698FF7">
      <w:pPr>
        <w:widowControl w:val="0"/>
        <w:spacing w:after="0" w:line="312" w:lineRule="auto"/>
        <w:ind w:firstLine="560" w:firstLineChars="200"/>
        <w:jc w:val="both"/>
        <w:rPr>
          <w:rFonts w:ascii="宋体" w:hAnsi="宋体" w:eastAsia="宋体" w:cs="宋体"/>
          <w:sz w:val="28"/>
          <w:szCs w:val="28"/>
        </w:rPr>
      </w:pPr>
      <w:bookmarkStart w:id="36" w:name="_Toc28811"/>
      <w:r>
        <w:rPr>
          <w:rFonts w:hint="eastAsia" w:ascii="宋体" w:hAnsi="宋体" w:eastAsia="宋体" w:cs="宋体"/>
          <w:bCs/>
          <w:iCs/>
          <w:kern w:val="2"/>
          <w:sz w:val="28"/>
          <w:szCs w:val="28"/>
        </w:rPr>
        <w:t>本专业培养的人才应热爱祖国，热爱人民，拥护党的方针政策，遵守国家法律法规，具有高等职业学校学生基本的文化知识，并具有以下职业素养、专业知识和技能。</w:t>
      </w:r>
    </w:p>
    <w:bookmarkEnd w:id="36"/>
    <w:p w14:paraId="75C4C208">
      <w:pPr>
        <w:widowControl w:val="0"/>
        <w:spacing w:after="0" w:line="312" w:lineRule="auto"/>
        <w:ind w:firstLine="560" w:firstLineChars="200"/>
        <w:jc w:val="both"/>
        <w:rPr>
          <w:rFonts w:ascii="宋体" w:hAnsi="宋体" w:eastAsia="宋体" w:cs="宋体"/>
          <w:bCs/>
          <w:iCs/>
          <w:kern w:val="2"/>
          <w:sz w:val="28"/>
          <w:szCs w:val="28"/>
        </w:rPr>
      </w:pPr>
      <w:bookmarkStart w:id="37" w:name="_Toc15219"/>
      <w:r>
        <w:rPr>
          <w:rFonts w:hint="eastAsia" w:ascii="宋体" w:hAnsi="宋体" w:eastAsia="宋体" w:cs="宋体"/>
          <w:bCs/>
          <w:iCs/>
          <w:kern w:val="2"/>
          <w:sz w:val="28"/>
          <w:szCs w:val="28"/>
        </w:rPr>
        <w:t>（1）素养</w:t>
      </w:r>
    </w:p>
    <w:p w14:paraId="18549BCE">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1）思想政治素质</w:t>
      </w:r>
    </w:p>
    <w:p w14:paraId="00E9DAB9">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树立马克思主义的世界观、人生观、价值观，拥护中国共产党的领导，拥护社会主义制度，热爱祖国，热爱中华民族，具有中国特色社会主义道路自信、理论自信、制度自信、文化自信，积极践行社会主义核心价值观。</w:t>
      </w:r>
    </w:p>
    <w:p w14:paraId="2678971E">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2）职业素质</w:t>
      </w:r>
    </w:p>
    <w:p w14:paraId="7B4A1E4E">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具有良好的职业态度和职业道德修养，具有正确的择业观和创业观。坚持职业操守，爱岗敬业、诚实守信、办事公道、服务群众、奉献社会；具备从事职业活动所必需的基本能力和管理素质；脚踏实地、严谨求实、勇于创新。 </w:t>
      </w:r>
    </w:p>
    <w:p w14:paraId="65799BD2">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3）人文素养与科学素质</w:t>
      </w:r>
    </w:p>
    <w:p w14:paraId="055BA4BB">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具有融合传统文化精华、当代中西文化潮流的宽阔视野；文理交融的科学思维能力和科学精神；具有健康、高雅、勤勉的生活工作情趣；具有适应社会核心价值体系的审美立场和方法能力；奠定个性鲜明、善于合作的个人成长成才的素质基础。</w:t>
      </w:r>
    </w:p>
    <w:p w14:paraId="27CB3A74">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4）身心素质</w:t>
      </w:r>
    </w:p>
    <w:p w14:paraId="3A8E4789">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具有一定的体育运动和生理卫生知识，养成良好的锻炼身体、讲究卫生的习惯，掌握一定的运动技能，达到国家规定的体育健康标准；具有坚韧不拔的毅力、积极乐观的态度、良好的人际关系、健全的人格品质。</w:t>
      </w:r>
    </w:p>
    <w:p w14:paraId="7F5B32F9">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5）创新创业素质</w:t>
      </w:r>
    </w:p>
    <w:p w14:paraId="68BF8359">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具有自主学习新知识能力，在开发、设计和实现中进行独立思考能力，具有创业意识，勇于尝试。</w:t>
      </w:r>
    </w:p>
    <w:bookmarkEnd w:id="37"/>
    <w:p w14:paraId="161EE824">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（2）专业知识和技能</w:t>
      </w:r>
    </w:p>
    <w:p w14:paraId="3ABC7BC1">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1）具有英语应用能力，能处理本专业的英文技术文件。</w:t>
      </w:r>
    </w:p>
    <w:p w14:paraId="6BE46A4F">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2）具备较强的计算机文字处理能力和计算机数据处理能力，熟练账务Excel电子表格在财务中的应用，熟练掌握办公应用软件，能熟练地运用计算机进行账务处理。</w:t>
      </w:r>
    </w:p>
    <w:p w14:paraId="34CF58AE">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3）具备出纳岗位工作能力，能够选择合理的结算方式，规范高效完成资金收付结算。</w:t>
      </w:r>
    </w:p>
    <w:p w14:paraId="1189C7FB">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4）具备收银工作能力，按照岗位职责要求，快速准确点验现金，能够熟练操作收银设备，使用支付宝、微信、网银等方式进行款项结算。</w:t>
      </w:r>
    </w:p>
    <w:p w14:paraId="6DC9A792">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5）具备会计核算能力，能够熟练进行会计业务处理，会计凭证审核与填制、账簿登记以及报表编制。</w:t>
      </w:r>
    </w:p>
    <w:p w14:paraId="6C2E7F80">
      <w:pPr>
        <w:widowControl w:val="0"/>
        <w:spacing w:after="0" w:line="312" w:lineRule="auto"/>
        <w:ind w:firstLine="560" w:firstLineChars="200"/>
        <w:jc w:val="both"/>
        <w:rPr>
          <w:rFonts w:ascii="宋体" w:hAnsi="宋体" w:eastAsia="宋体" w:cs="宋体"/>
          <w:bCs/>
          <w:color w:val="000000"/>
          <w:sz w:val="28"/>
          <w:szCs w:val="28"/>
        </w:rPr>
      </w:pPr>
      <w:r>
        <w:rPr>
          <w:rFonts w:hint="eastAsia" w:ascii="宋体" w:hAnsi="宋体" w:eastAsia="宋体" w:cs="宋体"/>
          <w:bCs/>
          <w:iCs/>
          <w:kern w:val="2"/>
          <w:sz w:val="28"/>
          <w:szCs w:val="28"/>
        </w:rPr>
        <w:t>6）具备会计信息化工作能力，能够进行会计信息化系统基本环境搭建、基本业务流程和管理职责调查整理、系统初始化、日常业务正常处理及运行维护。</w:t>
      </w:r>
    </w:p>
    <w:p w14:paraId="4EDE4E41">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7） 具备成本核算与管理能力，能够正确计算产品成本，科学进行成本分析与管理。</w:t>
      </w:r>
    </w:p>
    <w:p w14:paraId="416CFE16">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8） 具备涉税事务处理能力，能够正确计算企业主要税费和社保金，应用智能工具进行税费网上申报。</w:t>
      </w:r>
    </w:p>
    <w:p w14:paraId="0D5C701B">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9）熟练掌握主流的办公软件，具备撰写财务会计报告等相关财经应用写作能力，能够胜任财经文员工作，撰写一般商务文案和会计基础文书。</w:t>
      </w:r>
    </w:p>
    <w:p w14:paraId="2E4574AE">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10）熟练掌握中小企业常用的信息化软件，数据分析软件等，具备财务分析与可视化应用能力，能够为企业提供最基础的财务数据信息。</w:t>
      </w:r>
    </w:p>
    <w:p w14:paraId="399A0BE1">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11）具备熟练操作人工智能工具软件的能力，能够准确完成网络代理记账、在线财务管理咨询。</w:t>
      </w:r>
    </w:p>
    <w:p w14:paraId="65C69A51">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12）在熟练掌握掌握财税专业技能的基础上，还应熟悉企业年审、工商及社保等业务流程，了解最新的财会政策制度。</w:t>
      </w:r>
    </w:p>
    <w:p w14:paraId="0F1AFEA1">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13）具有较强的语言与文字表述、人际沟通、信息获取能力以及分析和解决企业管理工作实际问题的基本能力；</w:t>
      </w:r>
    </w:p>
    <w:p w14:paraId="19A71ADE">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14）熟悉我国财务、金融管理的相关方针、政策和法规以及国际惯例；</w:t>
      </w:r>
    </w:p>
    <w:p w14:paraId="3ABE68DA">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15）掌握助理会计师、会计师所具备的专业知识，具有通过国家资格考试的能力；</w:t>
      </w:r>
      <w:bookmarkStart w:id="38" w:name="_Toc30997"/>
      <w:bookmarkStart w:id="39" w:name="_Toc77884775"/>
      <w:bookmarkStart w:id="40" w:name="_Toc23939"/>
      <w:bookmarkStart w:id="41" w:name="_Toc23916"/>
      <w:bookmarkStart w:id="42" w:name="_Toc77884977"/>
      <w:bookmarkStart w:id="43" w:name="_Toc3783"/>
    </w:p>
    <w:p w14:paraId="35C9417F">
      <w:pPr>
        <w:widowControl w:val="0"/>
        <w:spacing w:after="0" w:line="312" w:lineRule="auto"/>
        <w:ind w:firstLine="562" w:firstLineChars="200"/>
        <w:jc w:val="both"/>
        <w:rPr>
          <w:rFonts w:ascii="宋体" w:hAnsi="宋体" w:eastAsia="宋体" w:cs="宋体"/>
          <w:b/>
          <w:bCs/>
          <w:sz w:val="28"/>
          <w:szCs w:val="28"/>
        </w:rPr>
      </w:pPr>
      <w:r>
        <w:rPr>
          <w:rFonts w:hint="eastAsia" w:ascii="宋体" w:hAnsi="宋体" w:eastAsia="宋体" w:cs="宋体"/>
          <w:b/>
          <w:bCs/>
          <w:sz w:val="28"/>
          <w:szCs w:val="28"/>
        </w:rPr>
        <w:t>六、课程设置及要求</w:t>
      </w:r>
      <w:bookmarkEnd w:id="38"/>
      <w:bookmarkEnd w:id="39"/>
      <w:bookmarkEnd w:id="40"/>
      <w:bookmarkEnd w:id="41"/>
      <w:bookmarkEnd w:id="42"/>
      <w:bookmarkEnd w:id="43"/>
    </w:p>
    <w:p w14:paraId="04E277DD">
      <w:pPr>
        <w:widowControl w:val="0"/>
        <w:spacing w:after="0" w:line="312" w:lineRule="auto"/>
        <w:ind w:firstLine="560" w:firstLineChars="200"/>
        <w:jc w:val="both"/>
        <w:rPr>
          <w:rFonts w:ascii="宋体" w:hAnsi="宋体" w:eastAsia="宋体" w:cs="宋体"/>
          <w:b/>
          <w:bCs/>
          <w:sz w:val="28"/>
          <w:szCs w:val="28"/>
        </w:rPr>
      </w:pPr>
      <w:r>
        <w:rPr>
          <w:rFonts w:hint="eastAsia" w:ascii="宋体" w:hAnsi="宋体" w:eastAsia="宋体" w:cs="宋体"/>
          <w:bCs/>
          <w:color w:val="000000"/>
          <w:sz w:val="28"/>
          <w:szCs w:val="28"/>
        </w:rPr>
        <w:t>全面推动习近平新时代中国特色社会主义思想进教材进课堂进头脑，按规定开齐开足公共基础必修课程、专业基础课程、专业核心</w:t>
      </w:r>
    </w:p>
    <w:p w14:paraId="7F1CFAC6">
      <w:pPr>
        <w:rPr>
          <w:rFonts w:ascii="宋体" w:hAnsi="宋体" w:eastAsia="宋体" w:cs="宋体"/>
          <w:bCs/>
          <w:color w:val="000000"/>
          <w:sz w:val="28"/>
          <w:szCs w:val="28"/>
        </w:rPr>
      </w:pPr>
      <w:r>
        <w:rPr>
          <w:rFonts w:hint="eastAsia" w:ascii="宋体" w:hAnsi="宋体" w:eastAsia="宋体" w:cs="宋体"/>
          <w:bCs/>
          <w:color w:val="000000"/>
          <w:sz w:val="28"/>
          <w:szCs w:val="28"/>
        </w:rPr>
        <w:t>课程，加强专业实训教学，突出专业特色。在课程体系上，充分融入岗课赛证融通的思路，将课程内容、实训教学等与1+X证书试点、技能大赛、岗位实践等充分融合。开设人文素养、科学素养、体育艺术素养、专业综合能力提升等选修课程、拓展课程或专题讲座，积极组织学生参加劳动实践、创新创业实践、志愿服务及其他社会公益活动，将知识、技能、素养教育融入到专业教学和社会实践。企业对会计专业人才的岗位需求是我们确定专业课程的重要依据。根据调查资料的企业会计岗位有出纳、会计核算（包括主要包括成本会计、往来会计）、会计主管、预算会计、税务会计、财务预算、财务控制、财务分析、财务管理、审计和财务咨询、仓库管理等，其中企业特别是中小型企业的会计专业岗位主要有出纳、会计核算（包括主要包括成本会计、往来会计）、会计主管、税务会计，这将是我们中高职贯通制学生主要的岗位。</w:t>
      </w:r>
    </w:p>
    <w:p w14:paraId="15CD858E">
      <w:pPr>
        <w:ind w:firstLine="562" w:firstLineChars="200"/>
        <w:rPr>
          <w:rFonts w:ascii="宋体" w:hAnsi="宋体" w:eastAsia="宋体" w:cs="宋体"/>
          <w:b/>
          <w:bCs/>
          <w:sz w:val="28"/>
          <w:szCs w:val="28"/>
        </w:rPr>
      </w:pPr>
      <w:r>
        <w:rPr>
          <w:rFonts w:hint="eastAsia" w:ascii="宋体" w:hAnsi="宋体" w:eastAsia="宋体" w:cs="宋体"/>
          <w:b/>
          <w:bCs/>
          <w:sz w:val="28"/>
          <w:szCs w:val="28"/>
        </w:rPr>
        <w:t>（一）公共基础课程</w:t>
      </w:r>
    </w:p>
    <w:p w14:paraId="08894360">
      <w:pPr>
        <w:ind w:firstLine="843" w:firstLineChars="300"/>
        <w:rPr>
          <w:rFonts w:ascii="宋体" w:hAnsi="宋体" w:eastAsia="宋体" w:cs="宋体"/>
          <w:b/>
          <w:bCs/>
          <w:sz w:val="28"/>
          <w:szCs w:val="28"/>
          <w:lang w:val="zh-CN"/>
        </w:rPr>
      </w:pPr>
      <w:r>
        <w:rPr>
          <w:rFonts w:hint="eastAsia" w:ascii="宋体" w:hAnsi="宋体" w:eastAsia="宋体" w:cs="宋体"/>
          <w:b/>
          <w:bCs/>
          <w:sz w:val="28"/>
          <w:szCs w:val="28"/>
        </w:rPr>
        <w:t>1.</w:t>
      </w:r>
      <w:r>
        <w:rPr>
          <w:rFonts w:hint="eastAsia" w:ascii="宋体" w:hAnsi="宋体" w:eastAsia="宋体" w:cs="宋体"/>
          <w:b/>
          <w:bCs/>
          <w:sz w:val="28"/>
          <w:szCs w:val="28"/>
          <w:lang w:val="zh-CN"/>
        </w:rPr>
        <w:t>中职部分</w:t>
      </w:r>
    </w:p>
    <w:tbl>
      <w:tblPr>
        <w:tblStyle w:val="1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
        <w:gridCol w:w="904"/>
        <w:gridCol w:w="6540"/>
        <w:gridCol w:w="674"/>
      </w:tblGrid>
      <w:tr w14:paraId="0DF16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tcBorders>
              <w:tl2br w:val="nil"/>
              <w:tr2bl w:val="nil"/>
            </w:tcBorders>
            <w:shd w:val="clear" w:color="auto" w:fill="DEEBF6" w:themeFill="accent1" w:themeFillTint="32"/>
            <w:vAlign w:val="center"/>
          </w:tcPr>
          <w:p w14:paraId="14EA627D">
            <w:pPr>
              <w:spacing w:after="0" w:line="320" w:lineRule="exact"/>
              <w:jc w:val="center"/>
              <w:rPr>
                <w:rFonts w:cs="仿宋" w:asciiTheme="minorEastAsia" w:hAnsiTheme="minorEastAsia" w:eastAsiaTheme="minorEastAsia"/>
                <w:b/>
                <w:bCs/>
                <w:sz w:val="18"/>
                <w:szCs w:val="18"/>
              </w:rPr>
            </w:pPr>
            <w:r>
              <w:rPr>
                <w:rFonts w:hint="eastAsia" w:cs="仿宋" w:asciiTheme="minorEastAsia" w:hAnsiTheme="minorEastAsia" w:eastAsiaTheme="minorEastAsia"/>
                <w:b/>
                <w:bCs/>
                <w:sz w:val="18"/>
                <w:szCs w:val="18"/>
              </w:rPr>
              <w:t>序号</w:t>
            </w:r>
          </w:p>
        </w:tc>
        <w:tc>
          <w:tcPr>
            <w:tcW w:w="531" w:type="pct"/>
            <w:tcBorders>
              <w:tl2br w:val="nil"/>
              <w:tr2bl w:val="nil"/>
            </w:tcBorders>
            <w:shd w:val="clear" w:color="auto" w:fill="DEEBF6" w:themeFill="accent1" w:themeFillTint="32"/>
            <w:vAlign w:val="center"/>
          </w:tcPr>
          <w:p w14:paraId="7ED11A1E">
            <w:pPr>
              <w:spacing w:after="0" w:line="320" w:lineRule="exact"/>
              <w:jc w:val="center"/>
              <w:rPr>
                <w:rFonts w:cs="仿宋" w:asciiTheme="minorEastAsia" w:hAnsiTheme="minorEastAsia" w:eastAsiaTheme="minorEastAsia"/>
                <w:b/>
                <w:bCs/>
                <w:sz w:val="18"/>
                <w:szCs w:val="18"/>
              </w:rPr>
            </w:pPr>
            <w:r>
              <w:rPr>
                <w:rFonts w:hint="eastAsia" w:cs="仿宋" w:asciiTheme="minorEastAsia" w:hAnsiTheme="minorEastAsia" w:eastAsiaTheme="minorEastAsia"/>
                <w:b/>
                <w:bCs/>
                <w:sz w:val="18"/>
                <w:szCs w:val="18"/>
              </w:rPr>
              <w:t>公共基础课</w:t>
            </w:r>
          </w:p>
        </w:tc>
        <w:tc>
          <w:tcPr>
            <w:tcW w:w="3840" w:type="pct"/>
            <w:tcBorders>
              <w:tl2br w:val="nil"/>
              <w:tr2bl w:val="nil"/>
            </w:tcBorders>
            <w:shd w:val="clear" w:color="auto" w:fill="DEEBF6" w:themeFill="accent1" w:themeFillTint="32"/>
            <w:vAlign w:val="center"/>
          </w:tcPr>
          <w:p w14:paraId="36E3E065">
            <w:pPr>
              <w:spacing w:after="0" w:line="320" w:lineRule="exact"/>
              <w:jc w:val="center"/>
              <w:rPr>
                <w:rFonts w:cs="仿宋" w:asciiTheme="minorEastAsia" w:hAnsiTheme="minorEastAsia" w:eastAsiaTheme="minorEastAsia"/>
                <w:b/>
                <w:bCs/>
                <w:sz w:val="18"/>
                <w:szCs w:val="18"/>
              </w:rPr>
            </w:pPr>
            <w:r>
              <w:rPr>
                <w:rFonts w:hint="eastAsia" w:cs="仿宋" w:asciiTheme="minorEastAsia" w:hAnsiTheme="minorEastAsia" w:eastAsiaTheme="minorEastAsia"/>
                <w:b/>
                <w:bCs/>
                <w:sz w:val="18"/>
                <w:szCs w:val="18"/>
              </w:rPr>
              <w:t>主要教学内容与要求</w:t>
            </w:r>
          </w:p>
        </w:tc>
        <w:tc>
          <w:tcPr>
            <w:tcW w:w="396" w:type="pct"/>
            <w:tcBorders>
              <w:tl2br w:val="nil"/>
              <w:tr2bl w:val="nil"/>
            </w:tcBorders>
            <w:shd w:val="clear" w:color="auto" w:fill="DEEBF6" w:themeFill="accent1" w:themeFillTint="32"/>
            <w:vAlign w:val="center"/>
          </w:tcPr>
          <w:p w14:paraId="5F2440F5">
            <w:pPr>
              <w:spacing w:after="0" w:line="320" w:lineRule="exact"/>
              <w:jc w:val="center"/>
              <w:rPr>
                <w:rFonts w:cs="仿宋" w:asciiTheme="minorEastAsia" w:hAnsiTheme="minorEastAsia" w:eastAsiaTheme="minorEastAsia"/>
                <w:b/>
                <w:bCs/>
                <w:sz w:val="18"/>
                <w:szCs w:val="18"/>
              </w:rPr>
            </w:pPr>
            <w:r>
              <w:rPr>
                <w:rFonts w:hint="eastAsia" w:cs="仿宋" w:asciiTheme="minorEastAsia" w:hAnsiTheme="minorEastAsia" w:eastAsiaTheme="minorEastAsia"/>
                <w:b/>
                <w:bCs/>
                <w:sz w:val="18"/>
                <w:szCs w:val="18"/>
              </w:rPr>
              <w:t>参考</w:t>
            </w:r>
          </w:p>
          <w:p w14:paraId="0CDCCEAC">
            <w:pPr>
              <w:spacing w:after="0" w:line="320" w:lineRule="exact"/>
              <w:jc w:val="center"/>
              <w:rPr>
                <w:rFonts w:cs="仿宋" w:asciiTheme="minorEastAsia" w:hAnsiTheme="minorEastAsia" w:eastAsiaTheme="minorEastAsia"/>
                <w:b/>
                <w:bCs/>
                <w:sz w:val="18"/>
                <w:szCs w:val="18"/>
              </w:rPr>
            </w:pPr>
            <w:r>
              <w:rPr>
                <w:rFonts w:hint="eastAsia" w:cs="仿宋" w:asciiTheme="minorEastAsia" w:hAnsiTheme="minorEastAsia" w:eastAsiaTheme="minorEastAsia"/>
                <w:b/>
                <w:bCs/>
                <w:sz w:val="18"/>
                <w:szCs w:val="18"/>
              </w:rPr>
              <w:t>学习</w:t>
            </w:r>
          </w:p>
        </w:tc>
      </w:tr>
      <w:tr w14:paraId="07ABD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tcBorders>
              <w:tl2br w:val="nil"/>
              <w:tr2bl w:val="nil"/>
            </w:tcBorders>
            <w:vAlign w:val="center"/>
          </w:tcPr>
          <w:p w14:paraId="0091FFA4">
            <w:pPr>
              <w:spacing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1</w:t>
            </w:r>
          </w:p>
        </w:tc>
        <w:tc>
          <w:tcPr>
            <w:tcW w:w="531" w:type="pct"/>
            <w:tcBorders>
              <w:tl2br w:val="nil"/>
              <w:tr2bl w:val="nil"/>
            </w:tcBorders>
            <w:vAlign w:val="center"/>
          </w:tcPr>
          <w:p w14:paraId="7C08F9EF">
            <w:pPr>
              <w:spacing w:line="320" w:lineRule="exact"/>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中国特色社会主义</w:t>
            </w:r>
          </w:p>
        </w:tc>
        <w:tc>
          <w:tcPr>
            <w:tcW w:w="3840" w:type="pct"/>
            <w:tcBorders>
              <w:tl2br w:val="nil"/>
              <w:tr2bl w:val="nil"/>
            </w:tcBorders>
          </w:tcPr>
          <w:p w14:paraId="7F695157">
            <w:pPr>
              <w:spacing w:line="320" w:lineRule="exact"/>
              <w:ind w:firstLine="360" w:firstLineChars="200"/>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学习并了解党带领中国人民完成新民主主义革命、建立中华人民共和国、确立社会主义制度的历史必然性；习近平新时代中国特色社会主义思想的核心要义和历史地位。认识改革开放；社会主义市场经济体制。熟悉我国根本政治制度和基本政治制度的内容、特点，理解我国政治制度的优越性，明白中国特色社会主义制度最大优势是中国共产党领导。正确看待中国传统文化，感悟世界文化的多样性，新时代中国特色社会主义发展的战略安排，领会新时代个人肩负的历史使命。</w:t>
            </w:r>
          </w:p>
        </w:tc>
        <w:tc>
          <w:tcPr>
            <w:tcW w:w="396" w:type="pct"/>
            <w:tcBorders>
              <w:tl2br w:val="nil"/>
              <w:tr2bl w:val="nil"/>
            </w:tcBorders>
            <w:vAlign w:val="center"/>
          </w:tcPr>
          <w:p w14:paraId="0662643B">
            <w:pPr>
              <w:widowControl w:val="0"/>
              <w:spacing w:line="320" w:lineRule="exact"/>
              <w:jc w:val="center"/>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36</w:t>
            </w:r>
          </w:p>
        </w:tc>
      </w:tr>
      <w:tr w14:paraId="05CF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tcBorders>
              <w:tl2br w:val="nil"/>
              <w:tr2bl w:val="nil"/>
            </w:tcBorders>
            <w:vAlign w:val="center"/>
          </w:tcPr>
          <w:p w14:paraId="6617F363">
            <w:pPr>
              <w:spacing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2</w:t>
            </w:r>
          </w:p>
        </w:tc>
        <w:tc>
          <w:tcPr>
            <w:tcW w:w="531" w:type="pct"/>
            <w:tcBorders>
              <w:tl2br w:val="nil"/>
              <w:tr2bl w:val="nil"/>
            </w:tcBorders>
            <w:vAlign w:val="center"/>
          </w:tcPr>
          <w:p w14:paraId="3FE0FD3F">
            <w:pPr>
              <w:spacing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心理健康与职业生涯</w:t>
            </w:r>
          </w:p>
        </w:tc>
        <w:tc>
          <w:tcPr>
            <w:tcW w:w="3840" w:type="pct"/>
            <w:tcBorders>
              <w:tl2br w:val="nil"/>
              <w:tr2bl w:val="nil"/>
            </w:tcBorders>
          </w:tcPr>
          <w:p w14:paraId="35604363">
            <w:pPr>
              <w:spacing w:line="320" w:lineRule="exact"/>
              <w:ind w:firstLine="360" w:firstLineChars="200"/>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学习心理健康知识，引导学生树立心理健康意识；掌握心理调适和职业生涯规划的方法，正确处理生活、学习、成长和求职就业中遇到的问题；培育自立自强、敬业乐群的心理品质和自尊自信、理性平和、积极向上的良好心态，根据社会发展需要和学生心理特点进行职业生涯指导，为职业生涯发展奠定基础。</w:t>
            </w:r>
          </w:p>
        </w:tc>
        <w:tc>
          <w:tcPr>
            <w:tcW w:w="396" w:type="pct"/>
            <w:tcBorders>
              <w:tl2br w:val="nil"/>
              <w:tr2bl w:val="nil"/>
            </w:tcBorders>
            <w:vAlign w:val="center"/>
          </w:tcPr>
          <w:p w14:paraId="4905FD36">
            <w:pPr>
              <w:widowControl w:val="0"/>
              <w:spacing w:line="320" w:lineRule="exact"/>
              <w:jc w:val="center"/>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36</w:t>
            </w:r>
          </w:p>
        </w:tc>
      </w:tr>
      <w:tr w14:paraId="5996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tcBorders>
              <w:tl2br w:val="nil"/>
              <w:tr2bl w:val="nil"/>
            </w:tcBorders>
            <w:vAlign w:val="center"/>
          </w:tcPr>
          <w:p w14:paraId="1513089D">
            <w:pPr>
              <w:spacing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3</w:t>
            </w:r>
          </w:p>
        </w:tc>
        <w:tc>
          <w:tcPr>
            <w:tcW w:w="531" w:type="pct"/>
            <w:tcBorders>
              <w:tl2br w:val="nil"/>
              <w:tr2bl w:val="nil"/>
            </w:tcBorders>
            <w:vAlign w:val="center"/>
          </w:tcPr>
          <w:p w14:paraId="163E33AC">
            <w:pPr>
              <w:spacing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哲学与人生</w:t>
            </w:r>
          </w:p>
        </w:tc>
        <w:tc>
          <w:tcPr>
            <w:tcW w:w="3840" w:type="pct"/>
            <w:tcBorders>
              <w:tl2br w:val="nil"/>
              <w:tr2bl w:val="nil"/>
            </w:tcBorders>
          </w:tcPr>
          <w:p w14:paraId="6B510FA5">
            <w:pPr>
              <w:spacing w:line="320" w:lineRule="exact"/>
              <w:ind w:firstLine="360" w:firstLineChars="200"/>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学习并理解马克思主义哲学是科学的世界观和方法论，讲述辩证唯物主义和历史唯物主义基本观点及其对人生成长的意义;阐述社会生活及个人成长中进行正确价值判断和行为选择的意义;引导学生弘扬和践行社会主义核心价值观，为学生成长奠定正确的世界观、人生观和价值观基础。</w:t>
            </w:r>
          </w:p>
        </w:tc>
        <w:tc>
          <w:tcPr>
            <w:tcW w:w="396" w:type="pct"/>
            <w:tcBorders>
              <w:tl2br w:val="nil"/>
              <w:tr2bl w:val="nil"/>
            </w:tcBorders>
            <w:vAlign w:val="center"/>
          </w:tcPr>
          <w:p w14:paraId="1FD215B2">
            <w:pPr>
              <w:widowControl w:val="0"/>
              <w:spacing w:line="320" w:lineRule="exact"/>
              <w:jc w:val="center"/>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36</w:t>
            </w:r>
          </w:p>
        </w:tc>
      </w:tr>
      <w:tr w14:paraId="10AE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tcBorders>
              <w:tl2br w:val="nil"/>
              <w:tr2bl w:val="nil"/>
            </w:tcBorders>
            <w:vAlign w:val="center"/>
          </w:tcPr>
          <w:p w14:paraId="10B797E4">
            <w:pPr>
              <w:spacing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4</w:t>
            </w:r>
          </w:p>
        </w:tc>
        <w:tc>
          <w:tcPr>
            <w:tcW w:w="531" w:type="pct"/>
            <w:tcBorders>
              <w:tl2br w:val="nil"/>
              <w:tr2bl w:val="nil"/>
            </w:tcBorders>
            <w:vAlign w:val="center"/>
          </w:tcPr>
          <w:p w14:paraId="6E4AC9A3">
            <w:pPr>
              <w:spacing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职业道德与法治</w:t>
            </w:r>
          </w:p>
        </w:tc>
        <w:tc>
          <w:tcPr>
            <w:tcW w:w="3840" w:type="pct"/>
            <w:tcBorders>
              <w:tl2br w:val="nil"/>
              <w:tr2bl w:val="nil"/>
            </w:tcBorders>
          </w:tcPr>
          <w:p w14:paraId="46265AD1">
            <w:pPr>
              <w:spacing w:line="320" w:lineRule="exact"/>
              <w:ind w:firstLine="360" w:firstLineChars="200"/>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学习道德与法治的关系，道德的特点和作用；社会公德、家庭美德、个人品德的主要内容；职业道德的内涵、特点以及时代意义；学习宪法基本知识，自觉维护宪法尊严，能够根据社会发展需要、结合自身实际，以道德和法律的要求规范自己的言行，做恪守道德规范、尊法学法守法用法的好公民。</w:t>
            </w:r>
          </w:p>
        </w:tc>
        <w:tc>
          <w:tcPr>
            <w:tcW w:w="396" w:type="pct"/>
            <w:tcBorders>
              <w:tl2br w:val="nil"/>
              <w:tr2bl w:val="nil"/>
            </w:tcBorders>
            <w:vAlign w:val="center"/>
          </w:tcPr>
          <w:p w14:paraId="4876CD48">
            <w:pPr>
              <w:widowControl w:val="0"/>
              <w:spacing w:line="320" w:lineRule="exact"/>
              <w:jc w:val="center"/>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36</w:t>
            </w:r>
          </w:p>
        </w:tc>
      </w:tr>
      <w:tr w14:paraId="76549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33" w:type="pct"/>
            <w:tcBorders>
              <w:tl2br w:val="nil"/>
              <w:tr2bl w:val="nil"/>
            </w:tcBorders>
            <w:vAlign w:val="center"/>
          </w:tcPr>
          <w:p w14:paraId="019B5FD3">
            <w:pPr>
              <w:spacing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5</w:t>
            </w:r>
          </w:p>
        </w:tc>
        <w:tc>
          <w:tcPr>
            <w:tcW w:w="531" w:type="pct"/>
            <w:tcBorders>
              <w:tl2br w:val="nil"/>
              <w:tr2bl w:val="nil"/>
            </w:tcBorders>
            <w:vAlign w:val="center"/>
          </w:tcPr>
          <w:p w14:paraId="40B7C3D2">
            <w:pPr>
              <w:spacing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语文</w:t>
            </w:r>
          </w:p>
        </w:tc>
        <w:tc>
          <w:tcPr>
            <w:tcW w:w="3840" w:type="pct"/>
            <w:tcBorders>
              <w:tl2br w:val="nil"/>
              <w:tr2bl w:val="nil"/>
            </w:tcBorders>
          </w:tcPr>
          <w:p w14:paraId="64E02289">
            <w:pPr>
              <w:spacing w:line="320" w:lineRule="exact"/>
              <w:ind w:firstLine="360" w:firstLineChars="200"/>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在初中语文的基础上，依据《中等职业学校语文教学大纲》开设，并注重培养学生阅读现代文和语文浅易文言文的能力，欣赏文学作品的能力，应用文写作能力，日常口语交际水平，以及语文在本专业中的应用能力。</w:t>
            </w:r>
          </w:p>
        </w:tc>
        <w:tc>
          <w:tcPr>
            <w:tcW w:w="396" w:type="pct"/>
            <w:tcBorders>
              <w:tl2br w:val="nil"/>
              <w:tr2bl w:val="nil"/>
            </w:tcBorders>
            <w:vAlign w:val="center"/>
          </w:tcPr>
          <w:p w14:paraId="0599BF82">
            <w:pPr>
              <w:widowControl w:val="0"/>
              <w:spacing w:line="320" w:lineRule="exact"/>
              <w:jc w:val="center"/>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144</w:t>
            </w:r>
          </w:p>
        </w:tc>
      </w:tr>
      <w:tr w14:paraId="6BD47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233" w:type="pct"/>
            <w:tcBorders>
              <w:tl2br w:val="nil"/>
              <w:tr2bl w:val="nil"/>
            </w:tcBorders>
            <w:vAlign w:val="center"/>
          </w:tcPr>
          <w:p w14:paraId="26BC88AD">
            <w:pPr>
              <w:spacing w:line="320" w:lineRule="exact"/>
              <w:jc w:val="center"/>
              <w:rPr>
                <w:rFonts w:cs="仿宋" w:asciiTheme="minorEastAsia" w:hAnsiTheme="minorEastAsia" w:eastAsiaTheme="minorEastAsia"/>
                <w:sz w:val="18"/>
                <w:szCs w:val="18"/>
              </w:rPr>
            </w:pPr>
            <w:r>
              <w:rPr>
                <w:rFonts w:cs="仿宋" w:asciiTheme="minorEastAsia" w:hAnsiTheme="minorEastAsia" w:eastAsiaTheme="minorEastAsia"/>
                <w:sz w:val="18"/>
                <w:szCs w:val="18"/>
              </w:rPr>
              <w:t>6</w:t>
            </w:r>
          </w:p>
        </w:tc>
        <w:tc>
          <w:tcPr>
            <w:tcW w:w="531" w:type="pct"/>
            <w:tcBorders>
              <w:tl2br w:val="nil"/>
              <w:tr2bl w:val="nil"/>
            </w:tcBorders>
            <w:vAlign w:val="center"/>
          </w:tcPr>
          <w:p w14:paraId="29D41044">
            <w:pPr>
              <w:spacing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数学</w:t>
            </w:r>
          </w:p>
        </w:tc>
        <w:tc>
          <w:tcPr>
            <w:tcW w:w="3840" w:type="pct"/>
            <w:tcBorders>
              <w:tl2br w:val="nil"/>
              <w:tr2bl w:val="nil"/>
            </w:tcBorders>
          </w:tcPr>
          <w:p w14:paraId="4780DC1E">
            <w:pPr>
              <w:spacing w:line="320" w:lineRule="exact"/>
              <w:ind w:firstLine="360" w:firstLineChars="200"/>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在初中数学的基础上，进一步学习数学的基础知识。集合与逻辑用语、不等式、函数、指数函数与对数函数、任意角的三角函数、数列与数列极限、向量、复数。培养学生运用数学工具的能力，逻辑思维能力，空间想象能力和工程计算能力。为进一步学习高职数学课程打好基础。</w:t>
            </w:r>
          </w:p>
        </w:tc>
        <w:tc>
          <w:tcPr>
            <w:tcW w:w="396" w:type="pct"/>
            <w:tcBorders>
              <w:tl2br w:val="nil"/>
              <w:tr2bl w:val="nil"/>
            </w:tcBorders>
            <w:vAlign w:val="center"/>
          </w:tcPr>
          <w:p w14:paraId="35893574">
            <w:pPr>
              <w:widowControl w:val="0"/>
              <w:spacing w:line="320" w:lineRule="exact"/>
              <w:jc w:val="center"/>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144</w:t>
            </w:r>
          </w:p>
        </w:tc>
      </w:tr>
      <w:tr w14:paraId="2F08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tcBorders>
              <w:tl2br w:val="nil"/>
              <w:tr2bl w:val="nil"/>
            </w:tcBorders>
            <w:vAlign w:val="center"/>
          </w:tcPr>
          <w:p w14:paraId="5041AC93">
            <w:pPr>
              <w:spacing w:line="320" w:lineRule="exact"/>
              <w:jc w:val="center"/>
              <w:rPr>
                <w:rFonts w:cs="仿宋" w:asciiTheme="minorEastAsia" w:hAnsiTheme="minorEastAsia" w:eastAsiaTheme="minorEastAsia"/>
                <w:sz w:val="18"/>
                <w:szCs w:val="18"/>
              </w:rPr>
            </w:pPr>
            <w:r>
              <w:rPr>
                <w:rFonts w:cs="仿宋" w:asciiTheme="minorEastAsia" w:hAnsiTheme="minorEastAsia" w:eastAsiaTheme="minorEastAsia"/>
                <w:sz w:val="18"/>
                <w:szCs w:val="18"/>
              </w:rPr>
              <w:t>7</w:t>
            </w:r>
          </w:p>
        </w:tc>
        <w:tc>
          <w:tcPr>
            <w:tcW w:w="531" w:type="pct"/>
            <w:tcBorders>
              <w:tl2br w:val="nil"/>
              <w:tr2bl w:val="nil"/>
            </w:tcBorders>
            <w:vAlign w:val="center"/>
          </w:tcPr>
          <w:p w14:paraId="02865202">
            <w:pPr>
              <w:spacing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英语</w:t>
            </w:r>
          </w:p>
        </w:tc>
        <w:tc>
          <w:tcPr>
            <w:tcW w:w="3840" w:type="pct"/>
            <w:tcBorders>
              <w:tl2br w:val="nil"/>
              <w:tr2bl w:val="nil"/>
            </w:tcBorders>
          </w:tcPr>
          <w:p w14:paraId="7604B897">
            <w:pPr>
              <w:spacing w:line="320" w:lineRule="exact"/>
              <w:ind w:firstLine="360" w:firstLineChars="200"/>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在初中英语的基础上，进一步学习英语知识，内容包括语音、词汇、语法、语篇等，以及记叙文、说明文、应用文和议论文等不同类型的文体，口头、书面等语体。孰悉常见的语篇形式，把握不同语篇的结构、文体及语体特征。正确认识和对待外国文化，自觉传播和弘扬中国特色社会主义文化。了解不同文化的习俗，避免在交流时触及文化禁忌。</w:t>
            </w:r>
          </w:p>
        </w:tc>
        <w:tc>
          <w:tcPr>
            <w:tcW w:w="396" w:type="pct"/>
            <w:tcBorders>
              <w:tl2br w:val="nil"/>
              <w:tr2bl w:val="nil"/>
            </w:tcBorders>
            <w:vAlign w:val="center"/>
          </w:tcPr>
          <w:p w14:paraId="2E2A7CF5">
            <w:pPr>
              <w:widowControl w:val="0"/>
              <w:spacing w:line="320" w:lineRule="exact"/>
              <w:jc w:val="center"/>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144</w:t>
            </w:r>
          </w:p>
        </w:tc>
      </w:tr>
      <w:tr w14:paraId="4A3FB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tcBorders>
              <w:tl2br w:val="nil"/>
              <w:tr2bl w:val="nil"/>
            </w:tcBorders>
            <w:vAlign w:val="center"/>
          </w:tcPr>
          <w:p w14:paraId="777EA742">
            <w:pPr>
              <w:spacing w:line="320" w:lineRule="exact"/>
              <w:jc w:val="center"/>
              <w:rPr>
                <w:rFonts w:cs="仿宋" w:asciiTheme="minorEastAsia" w:hAnsiTheme="minorEastAsia" w:eastAsiaTheme="minorEastAsia"/>
                <w:sz w:val="18"/>
                <w:szCs w:val="18"/>
              </w:rPr>
            </w:pPr>
            <w:r>
              <w:rPr>
                <w:rFonts w:cs="仿宋" w:asciiTheme="minorEastAsia" w:hAnsiTheme="minorEastAsia" w:eastAsiaTheme="minorEastAsia"/>
                <w:sz w:val="18"/>
                <w:szCs w:val="18"/>
              </w:rPr>
              <w:t>8</w:t>
            </w:r>
          </w:p>
        </w:tc>
        <w:tc>
          <w:tcPr>
            <w:tcW w:w="531" w:type="pct"/>
            <w:tcBorders>
              <w:tl2br w:val="nil"/>
              <w:tr2bl w:val="nil"/>
            </w:tcBorders>
            <w:vAlign w:val="center"/>
          </w:tcPr>
          <w:p w14:paraId="50E397DF">
            <w:pPr>
              <w:spacing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历史</w:t>
            </w:r>
          </w:p>
        </w:tc>
        <w:tc>
          <w:tcPr>
            <w:tcW w:w="3840" w:type="pct"/>
            <w:tcBorders>
              <w:tl2br w:val="nil"/>
              <w:tr2bl w:val="nil"/>
            </w:tcBorders>
          </w:tcPr>
          <w:p w14:paraId="46461A75">
            <w:pPr>
              <w:spacing w:line="320" w:lineRule="exact"/>
              <w:ind w:firstLine="360" w:firstLineChars="200"/>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在初中历史的基础上，进一步学习中国历史和世界历史，中国历史内容包括中国古代史、中国近代史和中国现代史。学习中国历史上的重要历史事件、重要历史现象和重要历史人物，以及中国社会形态的发展历程，中华民族多元一体的基本国情、特点及其优势。世界历史内容包括世界古代史、世界近代史和世界现代史。学习世界历史发展的线索和脉络，认识人类社会大体经历的几个发展阶段，社会形态从低级到高级的发展历程。</w:t>
            </w:r>
          </w:p>
        </w:tc>
        <w:tc>
          <w:tcPr>
            <w:tcW w:w="396" w:type="pct"/>
            <w:tcBorders>
              <w:tl2br w:val="nil"/>
              <w:tr2bl w:val="nil"/>
            </w:tcBorders>
            <w:vAlign w:val="center"/>
          </w:tcPr>
          <w:p w14:paraId="0A71C92F">
            <w:pPr>
              <w:widowControl w:val="0"/>
              <w:spacing w:line="320" w:lineRule="exact"/>
              <w:jc w:val="center"/>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72</w:t>
            </w:r>
          </w:p>
        </w:tc>
      </w:tr>
      <w:tr w14:paraId="7C1C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tcBorders>
              <w:tl2br w:val="nil"/>
              <w:tr2bl w:val="nil"/>
            </w:tcBorders>
            <w:vAlign w:val="center"/>
          </w:tcPr>
          <w:p w14:paraId="09A59C43">
            <w:pPr>
              <w:spacing w:line="320" w:lineRule="exact"/>
              <w:jc w:val="center"/>
              <w:rPr>
                <w:rFonts w:cs="仿宋" w:asciiTheme="minorEastAsia" w:hAnsiTheme="minorEastAsia" w:eastAsiaTheme="minorEastAsia"/>
                <w:sz w:val="18"/>
                <w:szCs w:val="18"/>
              </w:rPr>
            </w:pPr>
            <w:r>
              <w:rPr>
                <w:rFonts w:cs="仿宋" w:asciiTheme="minorEastAsia" w:hAnsiTheme="minorEastAsia" w:eastAsiaTheme="minorEastAsia"/>
                <w:sz w:val="18"/>
                <w:szCs w:val="18"/>
              </w:rPr>
              <w:t>9</w:t>
            </w:r>
          </w:p>
        </w:tc>
        <w:tc>
          <w:tcPr>
            <w:tcW w:w="531" w:type="pct"/>
            <w:tcBorders>
              <w:tl2br w:val="nil"/>
              <w:tr2bl w:val="nil"/>
            </w:tcBorders>
            <w:vAlign w:val="center"/>
          </w:tcPr>
          <w:p w14:paraId="3168731C">
            <w:pPr>
              <w:spacing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信息技术</w:t>
            </w:r>
          </w:p>
        </w:tc>
        <w:tc>
          <w:tcPr>
            <w:tcW w:w="3840" w:type="pct"/>
            <w:tcBorders>
              <w:tl2br w:val="nil"/>
              <w:tr2bl w:val="nil"/>
            </w:tcBorders>
          </w:tcPr>
          <w:p w14:paraId="0F14B891">
            <w:pPr>
              <w:spacing w:line="320" w:lineRule="exact"/>
              <w:ind w:firstLine="360" w:firstLineChars="200"/>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本课程旨在使学生了解计算机应用基础知识，掌握windows操作系统，office办公软件和使用互联网等计算机基本操作技能，能够运用计算机进行日常的信息加工和处理，提高学生办公事务的信息化处理能力，是培养学生的信息技术素养、网络安全意识、创新意识，提高学生职业能力和就业素质的一门必修公共基础课程。</w:t>
            </w:r>
          </w:p>
        </w:tc>
        <w:tc>
          <w:tcPr>
            <w:tcW w:w="396" w:type="pct"/>
            <w:tcBorders>
              <w:tl2br w:val="nil"/>
              <w:tr2bl w:val="nil"/>
            </w:tcBorders>
            <w:vAlign w:val="center"/>
          </w:tcPr>
          <w:p w14:paraId="28F9396A">
            <w:pPr>
              <w:widowControl w:val="0"/>
              <w:spacing w:line="320" w:lineRule="exact"/>
              <w:jc w:val="center"/>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144</w:t>
            </w:r>
          </w:p>
        </w:tc>
      </w:tr>
      <w:tr w14:paraId="02F2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tcBorders>
              <w:tl2br w:val="nil"/>
              <w:tr2bl w:val="nil"/>
            </w:tcBorders>
            <w:vAlign w:val="center"/>
          </w:tcPr>
          <w:p w14:paraId="69AE1B14">
            <w:pPr>
              <w:spacing w:line="320" w:lineRule="exact"/>
              <w:jc w:val="center"/>
              <w:rPr>
                <w:rFonts w:cs="仿宋" w:asciiTheme="minorEastAsia" w:hAnsiTheme="minorEastAsia" w:eastAsiaTheme="minorEastAsia"/>
                <w:sz w:val="18"/>
                <w:szCs w:val="18"/>
              </w:rPr>
            </w:pPr>
            <w:r>
              <w:rPr>
                <w:rFonts w:cs="仿宋" w:asciiTheme="minorEastAsia" w:hAnsiTheme="minorEastAsia" w:eastAsiaTheme="minorEastAsia"/>
                <w:sz w:val="18"/>
                <w:szCs w:val="18"/>
              </w:rPr>
              <w:t>10</w:t>
            </w:r>
          </w:p>
        </w:tc>
        <w:tc>
          <w:tcPr>
            <w:tcW w:w="531" w:type="pct"/>
            <w:tcBorders>
              <w:tl2br w:val="nil"/>
              <w:tr2bl w:val="nil"/>
            </w:tcBorders>
            <w:vAlign w:val="center"/>
          </w:tcPr>
          <w:p w14:paraId="5751CFF7">
            <w:pPr>
              <w:spacing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体育与健康</w:t>
            </w:r>
          </w:p>
        </w:tc>
        <w:tc>
          <w:tcPr>
            <w:tcW w:w="3840" w:type="pct"/>
            <w:tcBorders>
              <w:tl2br w:val="nil"/>
              <w:tr2bl w:val="nil"/>
            </w:tcBorders>
          </w:tcPr>
          <w:p w14:paraId="78A420AD">
            <w:pPr>
              <w:spacing w:line="320" w:lineRule="exact"/>
              <w:ind w:firstLine="360" w:firstLineChars="200"/>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在初中体育课的基础上，继续进行体能训练与学习，包括体能发展的基本原理与方法、测量与评价体能水平的方法、体能锻炼计划制订的步骤与方法等内容，提升学生的力量、速度、耐力、柔韧、灵敏等运动素质。依据学生未来的工作岗位需求,有针对性地训练与发展特定职业体能；健康教育包括健康的基本知识与技能，食品安全和合理营养等内容。</w:t>
            </w:r>
          </w:p>
        </w:tc>
        <w:tc>
          <w:tcPr>
            <w:tcW w:w="396" w:type="pct"/>
            <w:tcBorders>
              <w:tl2br w:val="nil"/>
              <w:tr2bl w:val="nil"/>
            </w:tcBorders>
            <w:vAlign w:val="center"/>
          </w:tcPr>
          <w:p w14:paraId="4B8686E8">
            <w:pPr>
              <w:widowControl w:val="0"/>
              <w:spacing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144</w:t>
            </w:r>
          </w:p>
        </w:tc>
      </w:tr>
      <w:tr w14:paraId="1C84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tcBorders>
              <w:tl2br w:val="nil"/>
              <w:tr2bl w:val="nil"/>
            </w:tcBorders>
            <w:vAlign w:val="center"/>
          </w:tcPr>
          <w:p w14:paraId="23C3D9EB">
            <w:pPr>
              <w:spacing w:line="320" w:lineRule="exact"/>
              <w:jc w:val="center"/>
              <w:rPr>
                <w:rFonts w:cs="仿宋" w:asciiTheme="minorEastAsia" w:hAnsiTheme="minorEastAsia" w:eastAsiaTheme="minorEastAsia"/>
                <w:sz w:val="18"/>
                <w:szCs w:val="18"/>
              </w:rPr>
            </w:pPr>
            <w:r>
              <w:rPr>
                <w:rFonts w:cs="仿宋" w:asciiTheme="minorEastAsia" w:hAnsiTheme="minorEastAsia" w:eastAsiaTheme="minorEastAsia"/>
                <w:sz w:val="18"/>
                <w:szCs w:val="18"/>
              </w:rPr>
              <w:t>11</w:t>
            </w:r>
          </w:p>
        </w:tc>
        <w:tc>
          <w:tcPr>
            <w:tcW w:w="531" w:type="pct"/>
            <w:tcBorders>
              <w:tl2br w:val="nil"/>
              <w:tr2bl w:val="nil"/>
            </w:tcBorders>
            <w:vAlign w:val="center"/>
          </w:tcPr>
          <w:p w14:paraId="2B8BDE1F">
            <w:pPr>
              <w:spacing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艺术</w:t>
            </w:r>
          </w:p>
        </w:tc>
        <w:tc>
          <w:tcPr>
            <w:tcW w:w="3840" w:type="pct"/>
            <w:tcBorders>
              <w:tl2br w:val="nil"/>
              <w:tr2bl w:val="nil"/>
            </w:tcBorders>
          </w:tcPr>
          <w:p w14:paraId="2FD51C43">
            <w:pPr>
              <w:spacing w:line="320" w:lineRule="exact"/>
              <w:ind w:firstLine="360" w:firstLineChars="200"/>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依据《中等职业学校公共艺术课程教学大纲》开设，提高学生艺术鉴赏能力，培养学生创新能力和合作精神，使学生普遍具有一定认知基础、喜闻乐见的音乐和美术作品的赏析能力。</w:t>
            </w:r>
          </w:p>
        </w:tc>
        <w:tc>
          <w:tcPr>
            <w:tcW w:w="396" w:type="pct"/>
            <w:tcBorders>
              <w:tl2br w:val="nil"/>
              <w:tr2bl w:val="nil"/>
            </w:tcBorders>
            <w:vAlign w:val="center"/>
          </w:tcPr>
          <w:p w14:paraId="1DA9F761">
            <w:pPr>
              <w:widowControl w:val="0"/>
              <w:spacing w:line="320" w:lineRule="exact"/>
              <w:jc w:val="center"/>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72</w:t>
            </w:r>
          </w:p>
        </w:tc>
      </w:tr>
      <w:tr w14:paraId="2AA59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3" w:type="pct"/>
            <w:tcBorders>
              <w:tl2br w:val="nil"/>
              <w:tr2bl w:val="nil"/>
            </w:tcBorders>
            <w:vAlign w:val="center"/>
          </w:tcPr>
          <w:p w14:paraId="11944D2F">
            <w:pPr>
              <w:spacing w:after="0"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1</w:t>
            </w:r>
            <w:r>
              <w:rPr>
                <w:rFonts w:cs="仿宋" w:asciiTheme="minorEastAsia" w:hAnsiTheme="minorEastAsia" w:eastAsiaTheme="minorEastAsia"/>
                <w:sz w:val="18"/>
                <w:szCs w:val="18"/>
              </w:rPr>
              <w:t>2</w:t>
            </w:r>
          </w:p>
        </w:tc>
        <w:tc>
          <w:tcPr>
            <w:tcW w:w="531" w:type="pct"/>
            <w:tcBorders>
              <w:tl2br w:val="nil"/>
              <w:tr2bl w:val="nil"/>
            </w:tcBorders>
            <w:vAlign w:val="center"/>
          </w:tcPr>
          <w:p w14:paraId="0161C963">
            <w:pPr>
              <w:spacing w:after="0"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u w:color="FFFFFF" w:themeColor="background1"/>
              </w:rPr>
              <w:t>物理</w:t>
            </w:r>
          </w:p>
        </w:tc>
        <w:tc>
          <w:tcPr>
            <w:tcW w:w="3840" w:type="pct"/>
            <w:tcBorders>
              <w:tl2br w:val="nil"/>
              <w:tr2bl w:val="nil"/>
            </w:tcBorders>
          </w:tcPr>
          <w:p w14:paraId="1F778F1E">
            <w:pPr>
              <w:spacing w:after="0" w:line="320" w:lineRule="exact"/>
              <w:ind w:firstLine="360" w:firstLineChars="200"/>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本课程旨在学习运动和力、功与能、热现象与能量守恒、直流电及其应用、电与磁及其应用、光现象及其应用、核能及其应用。使学生了解物质结构运动与相互作用，能量的基本概念，具备实事求是、精益求精的科学态度和精神品质，掌握实验观察的基本方法，培养学生建构模型的意识和能力。为下一步专业学习打好基础。</w:t>
            </w:r>
          </w:p>
        </w:tc>
        <w:tc>
          <w:tcPr>
            <w:tcW w:w="396" w:type="pct"/>
            <w:tcBorders>
              <w:tl2br w:val="nil"/>
              <w:tr2bl w:val="nil"/>
            </w:tcBorders>
            <w:vAlign w:val="center"/>
          </w:tcPr>
          <w:p w14:paraId="48BA358F">
            <w:pPr>
              <w:spacing w:after="0" w:line="320" w:lineRule="exact"/>
              <w:jc w:val="center"/>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72</w:t>
            </w:r>
          </w:p>
        </w:tc>
      </w:tr>
    </w:tbl>
    <w:p w14:paraId="2D5659BF">
      <w:pPr>
        <w:ind w:firstLine="843" w:firstLineChars="300"/>
        <w:rPr>
          <w:rFonts w:ascii="宋体" w:hAnsi="宋体" w:eastAsia="宋体" w:cs="宋体"/>
          <w:b/>
          <w:bCs/>
          <w:sz w:val="28"/>
          <w:szCs w:val="28"/>
          <w:lang w:val="zh-CN"/>
        </w:rPr>
      </w:pPr>
    </w:p>
    <w:p w14:paraId="64BDB08D">
      <w:pPr>
        <w:overflowPunct w:val="0"/>
        <w:adjustRightInd w:val="0"/>
        <w:spacing w:after="0" w:line="440" w:lineRule="exact"/>
        <w:ind w:firstLine="562" w:firstLineChars="200"/>
        <w:rPr>
          <w:rFonts w:asciiTheme="minorEastAsia" w:hAnsiTheme="minorEastAsia" w:eastAsiaTheme="minorEastAsia"/>
          <w:b/>
          <w:bCs/>
          <w:sz w:val="24"/>
          <w:szCs w:val="24"/>
          <w:lang w:val="zh-CN"/>
        </w:rPr>
      </w:pPr>
      <w:r>
        <w:rPr>
          <w:rFonts w:hint="eastAsia" w:asciiTheme="minorEastAsia" w:hAnsiTheme="minorEastAsia" w:eastAsiaTheme="minorEastAsia"/>
          <w:b/>
          <w:bCs/>
          <w:sz w:val="28"/>
          <w:szCs w:val="28"/>
        </w:rPr>
        <w:t>2.</w:t>
      </w:r>
      <w:r>
        <w:rPr>
          <w:rFonts w:hint="eastAsia" w:asciiTheme="minorEastAsia" w:hAnsiTheme="minorEastAsia" w:eastAsiaTheme="minorEastAsia"/>
          <w:b/>
          <w:bCs/>
          <w:sz w:val="28"/>
          <w:szCs w:val="28"/>
          <w:lang w:val="zh-CN"/>
        </w:rPr>
        <w:t>高职部分</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6"/>
        <w:gridCol w:w="1480"/>
        <w:gridCol w:w="7093"/>
      </w:tblGrid>
      <w:tr w14:paraId="50B5D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26" w:type="dxa"/>
            <w:tcBorders>
              <w:tl2br w:val="nil"/>
              <w:tr2bl w:val="nil"/>
            </w:tcBorders>
            <w:shd w:val="clear" w:color="auto" w:fill="DEEBF6" w:themeFill="accent1" w:themeFillTint="32"/>
            <w:vAlign w:val="center"/>
          </w:tcPr>
          <w:p w14:paraId="5C2B0BF4">
            <w:pPr>
              <w:spacing w:after="0" w:line="320" w:lineRule="exact"/>
              <w:jc w:val="center"/>
              <w:rPr>
                <w:rFonts w:cs="仿宋" w:asciiTheme="minorEastAsia" w:hAnsiTheme="minorEastAsia" w:eastAsiaTheme="minorEastAsia"/>
                <w:b/>
                <w:bCs/>
                <w:sz w:val="18"/>
                <w:szCs w:val="18"/>
              </w:rPr>
            </w:pPr>
            <w:r>
              <w:rPr>
                <w:rFonts w:hint="eastAsia" w:cs="仿宋" w:asciiTheme="minorEastAsia" w:hAnsiTheme="minorEastAsia" w:eastAsiaTheme="minorEastAsia"/>
                <w:b/>
                <w:bCs/>
                <w:sz w:val="18"/>
                <w:szCs w:val="18"/>
              </w:rPr>
              <w:t>序号</w:t>
            </w:r>
          </w:p>
        </w:tc>
        <w:tc>
          <w:tcPr>
            <w:tcW w:w="1480" w:type="dxa"/>
            <w:tcBorders>
              <w:tl2br w:val="nil"/>
              <w:tr2bl w:val="nil"/>
            </w:tcBorders>
            <w:shd w:val="clear" w:color="auto" w:fill="DEEBF6" w:themeFill="accent1" w:themeFillTint="32"/>
            <w:vAlign w:val="center"/>
          </w:tcPr>
          <w:p w14:paraId="7A767DB5">
            <w:pPr>
              <w:spacing w:after="0" w:line="320" w:lineRule="exact"/>
              <w:jc w:val="center"/>
              <w:rPr>
                <w:rFonts w:cs="仿宋" w:asciiTheme="minorEastAsia" w:hAnsiTheme="minorEastAsia" w:eastAsiaTheme="minorEastAsia"/>
                <w:b/>
                <w:bCs/>
                <w:sz w:val="18"/>
                <w:szCs w:val="18"/>
              </w:rPr>
            </w:pPr>
            <w:r>
              <w:rPr>
                <w:rFonts w:hint="eastAsia" w:cs="仿宋" w:asciiTheme="minorEastAsia" w:hAnsiTheme="minorEastAsia" w:eastAsiaTheme="minorEastAsia"/>
                <w:b/>
                <w:bCs/>
                <w:sz w:val="18"/>
                <w:szCs w:val="18"/>
              </w:rPr>
              <w:t>公共基础课程</w:t>
            </w:r>
          </w:p>
        </w:tc>
        <w:tc>
          <w:tcPr>
            <w:tcW w:w="7093" w:type="dxa"/>
            <w:tcBorders>
              <w:tl2br w:val="nil"/>
              <w:tr2bl w:val="nil"/>
            </w:tcBorders>
            <w:shd w:val="clear" w:color="auto" w:fill="DEEBF6" w:themeFill="accent1" w:themeFillTint="32"/>
            <w:vAlign w:val="center"/>
          </w:tcPr>
          <w:p w14:paraId="2EC18270">
            <w:pPr>
              <w:spacing w:after="0" w:line="320" w:lineRule="exact"/>
              <w:jc w:val="center"/>
              <w:rPr>
                <w:rFonts w:cs="仿宋" w:asciiTheme="minorEastAsia" w:hAnsiTheme="minorEastAsia" w:eastAsiaTheme="minorEastAsia"/>
                <w:b/>
                <w:bCs/>
                <w:sz w:val="18"/>
                <w:szCs w:val="18"/>
              </w:rPr>
            </w:pPr>
            <w:r>
              <w:rPr>
                <w:rFonts w:hint="eastAsia" w:cs="仿宋" w:asciiTheme="minorEastAsia" w:hAnsiTheme="minorEastAsia" w:eastAsiaTheme="minorEastAsia"/>
                <w:b/>
                <w:bCs/>
                <w:sz w:val="18"/>
                <w:szCs w:val="18"/>
              </w:rPr>
              <w:t>主要教学内容与要求</w:t>
            </w:r>
          </w:p>
        </w:tc>
      </w:tr>
      <w:tr w14:paraId="77E3C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626" w:type="dxa"/>
            <w:tcBorders>
              <w:tl2br w:val="nil"/>
              <w:tr2bl w:val="nil"/>
            </w:tcBorders>
            <w:vAlign w:val="center"/>
          </w:tcPr>
          <w:p w14:paraId="6BC2F9BF">
            <w:pPr>
              <w:spacing w:after="0"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1</w:t>
            </w:r>
          </w:p>
        </w:tc>
        <w:tc>
          <w:tcPr>
            <w:tcW w:w="1480" w:type="dxa"/>
            <w:tcBorders>
              <w:tl2br w:val="nil"/>
              <w:tr2bl w:val="nil"/>
            </w:tcBorders>
            <w:vAlign w:val="center"/>
          </w:tcPr>
          <w:p w14:paraId="31F40EBF">
            <w:pPr>
              <w:spacing w:after="0" w:line="320" w:lineRule="exact"/>
              <w:rPr>
                <w:rFonts w:cs="仿宋" w:asciiTheme="minorEastAsia" w:hAnsiTheme="minorEastAsia" w:eastAsiaTheme="minorEastAsia"/>
                <w:sz w:val="18"/>
                <w:szCs w:val="18"/>
                <w:u w:color="FFFFFF" w:themeColor="background1"/>
              </w:rPr>
            </w:pPr>
            <w:bookmarkStart w:id="44" w:name="_Toc17342"/>
            <w:bookmarkStart w:id="45" w:name="_Toc24284"/>
            <w:bookmarkStart w:id="46" w:name="_Toc20658"/>
            <w:r>
              <w:rPr>
                <w:rFonts w:hint="eastAsia" w:cs="仿宋" w:asciiTheme="minorEastAsia" w:hAnsiTheme="minorEastAsia" w:eastAsiaTheme="minorEastAsia"/>
                <w:sz w:val="18"/>
                <w:szCs w:val="18"/>
                <w:u w:color="FFFFFF" w:themeColor="background1"/>
              </w:rPr>
              <w:t>思想道德与法治</w:t>
            </w:r>
            <w:bookmarkEnd w:id="44"/>
            <w:bookmarkEnd w:id="45"/>
            <w:bookmarkEnd w:id="46"/>
          </w:p>
        </w:tc>
        <w:tc>
          <w:tcPr>
            <w:tcW w:w="7093" w:type="dxa"/>
            <w:tcBorders>
              <w:tl2br w:val="nil"/>
              <w:tr2bl w:val="nil"/>
            </w:tcBorders>
          </w:tcPr>
          <w:p w14:paraId="7AE680B0">
            <w:pPr>
              <w:spacing w:after="0" w:line="320" w:lineRule="exact"/>
              <w:ind w:firstLine="360" w:firstLineChars="200"/>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主要讲授马克思主义的人生观、价值观、道德观、法治观，社会主义核心价值观与社会主义法治建设的关系，帮助学生筑牢理想信念之基，培育和践行社会主义核心价值观，传承中华传统美德，弘扬中国精神，尊重和维护宪法法律权威，提升思想道德素质和法治素养。高等职业学校结合自身特点，注重加强对学生的职业道德教育。</w:t>
            </w:r>
          </w:p>
        </w:tc>
      </w:tr>
      <w:tr w14:paraId="1A33B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626" w:type="dxa"/>
            <w:tcBorders>
              <w:tl2br w:val="nil"/>
              <w:tr2bl w:val="nil"/>
            </w:tcBorders>
            <w:vAlign w:val="center"/>
          </w:tcPr>
          <w:p w14:paraId="7982949F">
            <w:pPr>
              <w:spacing w:after="0"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2</w:t>
            </w:r>
          </w:p>
        </w:tc>
        <w:tc>
          <w:tcPr>
            <w:tcW w:w="1480" w:type="dxa"/>
            <w:tcBorders>
              <w:tl2br w:val="nil"/>
              <w:tr2bl w:val="nil"/>
            </w:tcBorders>
            <w:vAlign w:val="center"/>
          </w:tcPr>
          <w:p w14:paraId="218C9079">
            <w:pPr>
              <w:spacing w:after="0"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u w:color="FFFFFF" w:themeColor="background1"/>
              </w:rPr>
              <w:t>毛泽东思想和中国特色社会主义理论体系概论</w:t>
            </w:r>
          </w:p>
        </w:tc>
        <w:tc>
          <w:tcPr>
            <w:tcW w:w="7093" w:type="dxa"/>
            <w:tcBorders>
              <w:tl2br w:val="nil"/>
              <w:tr2bl w:val="nil"/>
            </w:tcBorders>
          </w:tcPr>
          <w:p w14:paraId="288F3D69">
            <w:pPr>
              <w:spacing w:after="0" w:line="320" w:lineRule="exact"/>
              <w:ind w:firstLine="360" w:firstLineChars="200"/>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主要讲授中国共产党把马克思主义基本原理同中国具体实际相结合产生的马克思主义中国化的三大理论成果，帮助学生理解毛泽东思想、邓小平理论、“三个代表”重要思想、科学发展观、习近平新时代中国特色社会主义思想是一脉相承又与时俱进的科学体系，引导学生深刻理解中国共产党为什么能、马克思主义为什么行、中国特色社会主义为什么好，坚定“四个自信”。</w:t>
            </w:r>
          </w:p>
        </w:tc>
      </w:tr>
      <w:tr w14:paraId="29A4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tcBorders>
              <w:tl2br w:val="nil"/>
              <w:tr2bl w:val="nil"/>
            </w:tcBorders>
            <w:vAlign w:val="center"/>
          </w:tcPr>
          <w:p w14:paraId="4DB1410A">
            <w:pPr>
              <w:spacing w:after="0"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3</w:t>
            </w:r>
          </w:p>
        </w:tc>
        <w:tc>
          <w:tcPr>
            <w:tcW w:w="1480" w:type="dxa"/>
            <w:tcBorders>
              <w:tl2br w:val="nil"/>
              <w:tr2bl w:val="nil"/>
            </w:tcBorders>
            <w:vAlign w:val="center"/>
          </w:tcPr>
          <w:p w14:paraId="2418EFA8">
            <w:pPr>
              <w:spacing w:after="0" w:line="320" w:lineRule="exact"/>
              <w:jc w:val="center"/>
              <w:rPr>
                <w:rFonts w:cs="仿宋" w:asciiTheme="minorEastAsia" w:hAnsiTheme="minorEastAsia" w:eastAsiaTheme="minorEastAsia"/>
                <w:sz w:val="18"/>
                <w:szCs w:val="18"/>
              </w:rPr>
            </w:pPr>
            <w:bookmarkStart w:id="47" w:name="_Toc6473"/>
            <w:bookmarkStart w:id="48" w:name="_Toc21131"/>
            <w:bookmarkStart w:id="49" w:name="_Toc19018"/>
            <w:r>
              <w:rPr>
                <w:rFonts w:hint="eastAsia" w:cs="仿宋" w:asciiTheme="minorEastAsia" w:hAnsiTheme="minorEastAsia" w:eastAsiaTheme="minorEastAsia"/>
                <w:sz w:val="18"/>
                <w:szCs w:val="18"/>
              </w:rPr>
              <w:t>形势与政策</w:t>
            </w:r>
            <w:bookmarkEnd w:id="47"/>
            <w:bookmarkEnd w:id="48"/>
            <w:bookmarkEnd w:id="49"/>
          </w:p>
        </w:tc>
        <w:tc>
          <w:tcPr>
            <w:tcW w:w="7093" w:type="dxa"/>
            <w:tcBorders>
              <w:tl2br w:val="nil"/>
              <w:tr2bl w:val="nil"/>
            </w:tcBorders>
          </w:tcPr>
          <w:p w14:paraId="6BAEBD65">
            <w:pPr>
              <w:spacing w:after="0" w:line="320" w:lineRule="exact"/>
              <w:ind w:firstLine="360" w:firstLineChars="200"/>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主要讲授党的理论创新最新成果，新时代坚持和发展中国特色社会主义的生动实践，马克思主义形势观政策观、党的路线方针政策、基本国情、国内外形势及其热点难点问题，帮助学生准确理解当代中国马克思主义，深刻领会党和国家事业取得的历史性成就、面临的历史性机遇和挑战，引导大学生正确认识世界和中国发展大势，正确认识中国特色和国际比较，正确认识时代责任和历史使命，正确认识远大抱负和脚踏实地的关系。</w:t>
            </w:r>
          </w:p>
        </w:tc>
      </w:tr>
      <w:tr w14:paraId="399AB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tcBorders>
              <w:tl2br w:val="nil"/>
              <w:tr2bl w:val="nil"/>
            </w:tcBorders>
            <w:vAlign w:val="center"/>
          </w:tcPr>
          <w:p w14:paraId="30D311AA">
            <w:pPr>
              <w:spacing w:after="0"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4</w:t>
            </w:r>
          </w:p>
        </w:tc>
        <w:tc>
          <w:tcPr>
            <w:tcW w:w="1480" w:type="dxa"/>
            <w:tcBorders>
              <w:tl2br w:val="nil"/>
              <w:tr2bl w:val="nil"/>
            </w:tcBorders>
            <w:vAlign w:val="center"/>
          </w:tcPr>
          <w:p w14:paraId="2C5967A6">
            <w:pPr>
              <w:spacing w:after="0"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大学语文（含应用文写作）</w:t>
            </w:r>
          </w:p>
        </w:tc>
        <w:tc>
          <w:tcPr>
            <w:tcW w:w="7093" w:type="dxa"/>
            <w:tcBorders>
              <w:tl2br w:val="nil"/>
              <w:tr2bl w:val="nil"/>
            </w:tcBorders>
          </w:tcPr>
          <w:p w14:paraId="7CEA0A51">
            <w:pPr>
              <w:spacing w:after="0" w:line="320" w:lineRule="exact"/>
              <w:ind w:firstLine="360" w:firstLineChars="200"/>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本课程以听、说、读、写为基本载体，着重培养学生的阅读与理解，表达与交流等语文应用能力，是融思想性、知识性、审美性、人文性和趣味性于一体，提高学生文化素养和职业基本素质，提升学生思想品质和审美悟性必修的公共基础课程。本课程对于提高学生的职业能力，丰富学生的职业情感，促进学生的职业发展，继承传统文化，建立精神家园、重塑人格，提升学生行为修养，为学生成长为高素质，有文化的现代职业人提供支撑和保障。</w:t>
            </w:r>
          </w:p>
        </w:tc>
      </w:tr>
      <w:tr w14:paraId="5A8C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tcBorders>
              <w:tl2br w:val="nil"/>
              <w:tr2bl w:val="nil"/>
            </w:tcBorders>
            <w:vAlign w:val="center"/>
          </w:tcPr>
          <w:p w14:paraId="003AF312">
            <w:pPr>
              <w:spacing w:after="0" w:line="320" w:lineRule="exact"/>
              <w:jc w:val="center"/>
              <w:rPr>
                <w:rFonts w:cs="仿宋" w:asciiTheme="minorEastAsia" w:hAnsiTheme="minorEastAsia" w:eastAsiaTheme="minorEastAsia"/>
                <w:sz w:val="18"/>
                <w:szCs w:val="18"/>
              </w:rPr>
            </w:pPr>
            <w:bookmarkStart w:id="50" w:name="_Toc11683"/>
            <w:bookmarkStart w:id="51" w:name="_Toc19600"/>
            <w:bookmarkStart w:id="52" w:name="_Toc1062"/>
            <w:r>
              <w:rPr>
                <w:rFonts w:hint="eastAsia" w:cs="仿宋" w:asciiTheme="minorEastAsia" w:hAnsiTheme="minorEastAsia" w:eastAsiaTheme="minorEastAsia"/>
                <w:sz w:val="18"/>
                <w:szCs w:val="18"/>
              </w:rPr>
              <w:t>5</w:t>
            </w:r>
            <w:bookmarkEnd w:id="50"/>
            <w:bookmarkEnd w:id="51"/>
            <w:bookmarkEnd w:id="52"/>
          </w:p>
        </w:tc>
        <w:tc>
          <w:tcPr>
            <w:tcW w:w="1480" w:type="dxa"/>
            <w:tcBorders>
              <w:tl2br w:val="nil"/>
              <w:tr2bl w:val="nil"/>
            </w:tcBorders>
            <w:vAlign w:val="center"/>
          </w:tcPr>
          <w:p w14:paraId="708BB4BB">
            <w:pPr>
              <w:spacing w:after="0"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大学英语</w:t>
            </w:r>
          </w:p>
        </w:tc>
        <w:tc>
          <w:tcPr>
            <w:tcW w:w="7093" w:type="dxa"/>
            <w:tcBorders>
              <w:tl2br w:val="nil"/>
              <w:tr2bl w:val="nil"/>
            </w:tcBorders>
          </w:tcPr>
          <w:p w14:paraId="3AA156CE">
            <w:pPr>
              <w:spacing w:after="0" w:line="320" w:lineRule="exact"/>
              <w:ind w:firstLine="360" w:firstLineChars="200"/>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本课程重点通过听、说、读、写教学，培养学生实际应用英语的能力，注重培养学生听说能力和实际应用语言的技能，特别是用英语处理与本专业职业生活相关的业务能力，培养具有一定的英语基础知识和语言技能的高素质技术技能人才。</w:t>
            </w:r>
          </w:p>
        </w:tc>
      </w:tr>
      <w:tr w14:paraId="3DB9D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tcBorders>
              <w:tl2br w:val="nil"/>
              <w:tr2bl w:val="nil"/>
            </w:tcBorders>
            <w:vAlign w:val="center"/>
          </w:tcPr>
          <w:p w14:paraId="483DC89A">
            <w:pPr>
              <w:spacing w:after="0" w:line="320" w:lineRule="exact"/>
              <w:jc w:val="center"/>
              <w:rPr>
                <w:rFonts w:cs="仿宋" w:asciiTheme="minorEastAsia" w:hAnsiTheme="minorEastAsia" w:eastAsiaTheme="minorEastAsia"/>
                <w:sz w:val="18"/>
                <w:szCs w:val="18"/>
              </w:rPr>
            </w:pPr>
            <w:bookmarkStart w:id="53" w:name="_Toc15582"/>
            <w:bookmarkStart w:id="54" w:name="_Toc31148"/>
            <w:bookmarkStart w:id="55" w:name="_Toc23357"/>
            <w:r>
              <w:rPr>
                <w:rFonts w:hint="eastAsia" w:cs="仿宋" w:asciiTheme="minorEastAsia" w:hAnsiTheme="minorEastAsia" w:eastAsiaTheme="minorEastAsia"/>
                <w:sz w:val="18"/>
                <w:szCs w:val="18"/>
              </w:rPr>
              <w:t>6</w:t>
            </w:r>
            <w:bookmarkEnd w:id="53"/>
            <w:bookmarkEnd w:id="54"/>
            <w:bookmarkEnd w:id="55"/>
          </w:p>
        </w:tc>
        <w:tc>
          <w:tcPr>
            <w:tcW w:w="1480" w:type="dxa"/>
            <w:tcBorders>
              <w:tl2br w:val="nil"/>
              <w:tr2bl w:val="nil"/>
            </w:tcBorders>
            <w:vAlign w:val="center"/>
          </w:tcPr>
          <w:p w14:paraId="0545A6DF">
            <w:pPr>
              <w:spacing w:after="0" w:line="320" w:lineRule="exact"/>
              <w:ind w:firstLine="360" w:firstLineChars="200"/>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信息技术</w:t>
            </w:r>
          </w:p>
        </w:tc>
        <w:tc>
          <w:tcPr>
            <w:tcW w:w="7093" w:type="dxa"/>
            <w:tcBorders>
              <w:tl2br w:val="nil"/>
              <w:tr2bl w:val="nil"/>
            </w:tcBorders>
          </w:tcPr>
          <w:p w14:paraId="5C1F7434">
            <w:pPr>
              <w:spacing w:after="0" w:line="320" w:lineRule="exact"/>
              <w:ind w:firstLine="360" w:firstLineChars="200"/>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本课程旨在使学生了解计算机应用基础知识，掌握windows操作系统，office办公软件和使用互联网等计算机基本操作技能，能够运用计算机进行日常的信息加工和处理，提高学生办公事务的信息化处理能力，是培养学生的信息技术素养、网络安全意识、创新意识，提高学生职业能力和就业素质的一门必修公共基础课程。</w:t>
            </w:r>
          </w:p>
        </w:tc>
      </w:tr>
      <w:tr w14:paraId="553A1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tcBorders>
              <w:tl2br w:val="nil"/>
              <w:tr2bl w:val="nil"/>
            </w:tcBorders>
            <w:vAlign w:val="center"/>
          </w:tcPr>
          <w:p w14:paraId="1E309EC2">
            <w:pPr>
              <w:spacing w:after="0" w:line="320" w:lineRule="exact"/>
              <w:jc w:val="center"/>
              <w:rPr>
                <w:rFonts w:cs="仿宋" w:asciiTheme="minorEastAsia" w:hAnsiTheme="minorEastAsia" w:eastAsiaTheme="minorEastAsia"/>
                <w:sz w:val="18"/>
                <w:szCs w:val="18"/>
              </w:rPr>
            </w:pPr>
            <w:bookmarkStart w:id="56" w:name="_Toc20526"/>
            <w:bookmarkStart w:id="57" w:name="_Toc10331"/>
            <w:bookmarkStart w:id="58" w:name="_Toc3835"/>
            <w:r>
              <w:rPr>
                <w:rFonts w:hint="eastAsia" w:cs="仿宋" w:asciiTheme="minorEastAsia" w:hAnsiTheme="minorEastAsia" w:eastAsiaTheme="minorEastAsia"/>
                <w:sz w:val="18"/>
                <w:szCs w:val="18"/>
              </w:rPr>
              <w:t>7</w:t>
            </w:r>
            <w:bookmarkEnd w:id="56"/>
            <w:bookmarkEnd w:id="57"/>
            <w:bookmarkEnd w:id="58"/>
          </w:p>
        </w:tc>
        <w:tc>
          <w:tcPr>
            <w:tcW w:w="1480" w:type="dxa"/>
            <w:tcBorders>
              <w:tl2br w:val="nil"/>
              <w:tr2bl w:val="nil"/>
            </w:tcBorders>
            <w:vAlign w:val="center"/>
          </w:tcPr>
          <w:p w14:paraId="4A4746ED">
            <w:pPr>
              <w:spacing w:after="0" w:line="320" w:lineRule="exact"/>
              <w:jc w:val="center"/>
              <w:rPr>
                <w:rFonts w:cs="仿宋" w:asciiTheme="minorEastAsia" w:hAnsiTheme="minorEastAsia" w:eastAsiaTheme="minorEastAsia"/>
                <w:sz w:val="18"/>
                <w:szCs w:val="18"/>
              </w:rPr>
            </w:pPr>
            <w:bookmarkStart w:id="59" w:name="_Toc7123"/>
            <w:bookmarkStart w:id="60" w:name="_Toc15112"/>
            <w:bookmarkStart w:id="61" w:name="_Toc16933"/>
            <w:r>
              <w:rPr>
                <w:rFonts w:hint="eastAsia" w:cs="仿宋" w:asciiTheme="minorEastAsia" w:hAnsiTheme="minorEastAsia" w:eastAsiaTheme="minorEastAsia"/>
                <w:sz w:val="18"/>
                <w:szCs w:val="18"/>
              </w:rPr>
              <w:t>大学体育</w:t>
            </w:r>
            <w:bookmarkEnd w:id="59"/>
            <w:bookmarkEnd w:id="60"/>
            <w:bookmarkEnd w:id="61"/>
          </w:p>
        </w:tc>
        <w:tc>
          <w:tcPr>
            <w:tcW w:w="7093" w:type="dxa"/>
            <w:tcBorders>
              <w:tl2br w:val="nil"/>
              <w:tr2bl w:val="nil"/>
            </w:tcBorders>
          </w:tcPr>
          <w:p w14:paraId="2B78D2C2">
            <w:pPr>
              <w:spacing w:after="0" w:line="320" w:lineRule="exact"/>
              <w:ind w:firstLine="360" w:firstLineChars="200"/>
              <w:rPr>
                <w:rFonts w:cs="仿宋" w:asciiTheme="minorEastAsia" w:hAnsiTheme="minorEastAsia" w:eastAsiaTheme="minorEastAsia"/>
                <w:sz w:val="18"/>
                <w:szCs w:val="18"/>
                <w:u w:color="FFFFFF" w:themeColor="background1"/>
              </w:rPr>
            </w:pPr>
            <w:bookmarkStart w:id="62" w:name="_Toc29637"/>
            <w:bookmarkStart w:id="63" w:name="_Toc13402"/>
            <w:bookmarkStart w:id="64" w:name="_Toc11931"/>
            <w:r>
              <w:rPr>
                <w:rFonts w:hint="eastAsia" w:cs="仿宋" w:asciiTheme="minorEastAsia" w:hAnsiTheme="minorEastAsia" w:eastAsiaTheme="minorEastAsia"/>
                <w:sz w:val="18"/>
                <w:szCs w:val="18"/>
                <w:u w:color="FFFFFF" w:themeColor="background1"/>
              </w:rPr>
              <w:t>本课程旨在指导学生科学有效开展身体健康锻炼，重点以体育与健康知识，技能与方法为主要学习内容，树立健康生活工作方式，养成良好体育锻炼习惯，增强学生体质健康水平，完善与职业岗位相适应的身体素质储备，提升体育和素质素养为主要目的，是为学生未来的学习、生活、工作、职业发展提供良好的身心素质基础的一门公共基础必修课。</w:t>
            </w:r>
            <w:bookmarkEnd w:id="62"/>
            <w:bookmarkEnd w:id="63"/>
            <w:bookmarkEnd w:id="64"/>
          </w:p>
        </w:tc>
      </w:tr>
      <w:tr w14:paraId="1B6EC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tcBorders>
              <w:tl2br w:val="nil"/>
              <w:tr2bl w:val="nil"/>
            </w:tcBorders>
            <w:vAlign w:val="center"/>
          </w:tcPr>
          <w:p w14:paraId="3154805D">
            <w:pPr>
              <w:spacing w:after="0" w:line="320" w:lineRule="exact"/>
              <w:jc w:val="center"/>
              <w:rPr>
                <w:rFonts w:cs="仿宋" w:asciiTheme="minorEastAsia" w:hAnsiTheme="minorEastAsia" w:eastAsiaTheme="minorEastAsia"/>
                <w:sz w:val="18"/>
                <w:szCs w:val="18"/>
              </w:rPr>
            </w:pPr>
            <w:bookmarkStart w:id="65" w:name="_Toc1920"/>
            <w:bookmarkStart w:id="66" w:name="_Toc20655"/>
            <w:bookmarkStart w:id="67" w:name="_Toc24668"/>
            <w:r>
              <w:rPr>
                <w:rFonts w:hint="eastAsia" w:cs="仿宋" w:asciiTheme="minorEastAsia" w:hAnsiTheme="minorEastAsia" w:eastAsiaTheme="minorEastAsia"/>
                <w:sz w:val="18"/>
                <w:szCs w:val="18"/>
              </w:rPr>
              <w:t>8</w:t>
            </w:r>
            <w:bookmarkEnd w:id="65"/>
            <w:bookmarkEnd w:id="66"/>
            <w:bookmarkEnd w:id="67"/>
          </w:p>
        </w:tc>
        <w:tc>
          <w:tcPr>
            <w:tcW w:w="1480" w:type="dxa"/>
            <w:tcBorders>
              <w:tl2br w:val="nil"/>
              <w:tr2bl w:val="nil"/>
            </w:tcBorders>
            <w:vAlign w:val="center"/>
          </w:tcPr>
          <w:p w14:paraId="11CD39BE">
            <w:pPr>
              <w:spacing w:after="0" w:line="320" w:lineRule="exact"/>
              <w:jc w:val="center"/>
              <w:rPr>
                <w:rFonts w:cs="仿宋" w:asciiTheme="minorEastAsia" w:hAnsiTheme="minorEastAsia" w:eastAsiaTheme="minorEastAsia"/>
                <w:sz w:val="18"/>
                <w:szCs w:val="18"/>
              </w:rPr>
            </w:pPr>
            <w:bookmarkStart w:id="68" w:name="_Toc11040"/>
            <w:bookmarkStart w:id="69" w:name="_Toc928"/>
            <w:bookmarkStart w:id="70" w:name="_Toc32420"/>
            <w:r>
              <w:rPr>
                <w:rFonts w:hint="eastAsia" w:cs="仿宋" w:asciiTheme="minorEastAsia" w:hAnsiTheme="minorEastAsia" w:eastAsiaTheme="minorEastAsia"/>
                <w:sz w:val="18"/>
                <w:szCs w:val="18"/>
              </w:rPr>
              <w:t>心理健康教育</w:t>
            </w:r>
            <w:bookmarkEnd w:id="68"/>
            <w:bookmarkEnd w:id="69"/>
            <w:bookmarkEnd w:id="70"/>
          </w:p>
        </w:tc>
        <w:tc>
          <w:tcPr>
            <w:tcW w:w="7093" w:type="dxa"/>
            <w:tcBorders>
              <w:tl2br w:val="nil"/>
              <w:tr2bl w:val="nil"/>
            </w:tcBorders>
          </w:tcPr>
          <w:p w14:paraId="092CEC38">
            <w:pPr>
              <w:spacing w:after="0" w:line="320" w:lineRule="exact"/>
              <w:ind w:firstLine="360" w:firstLineChars="200"/>
              <w:rPr>
                <w:rFonts w:cs="仿宋" w:asciiTheme="minorEastAsia" w:hAnsiTheme="minorEastAsia" w:eastAsiaTheme="minorEastAsia"/>
                <w:sz w:val="18"/>
                <w:szCs w:val="18"/>
                <w:u w:color="FFFFFF" w:themeColor="background1"/>
              </w:rPr>
            </w:pPr>
            <w:bookmarkStart w:id="71" w:name="_Toc10742"/>
            <w:bookmarkStart w:id="72" w:name="_Toc22120"/>
            <w:bookmarkStart w:id="73" w:name="_Toc32178"/>
            <w:r>
              <w:rPr>
                <w:rFonts w:hint="eastAsia" w:cs="仿宋" w:asciiTheme="minorEastAsia" w:hAnsiTheme="minorEastAsia" w:eastAsiaTheme="minorEastAsia"/>
                <w:sz w:val="18"/>
                <w:szCs w:val="18"/>
                <w:u w:color="FFFFFF" w:themeColor="background1"/>
              </w:rPr>
              <w:t>本课程旨在宣传普及心理保健知识，帮助学生认识健康心理对成长成才的重要意义，指导学生树立心理保健意识，掌握心理健康知识和心理调适方法，指导学生学会正确认识评价自己，悦纳自己，增强社会生活的适应能力，自我管理能力等。是学生综合职业素养能力培养的一门必修公共基础课程。</w:t>
            </w:r>
            <w:bookmarkEnd w:id="71"/>
            <w:bookmarkEnd w:id="72"/>
            <w:bookmarkEnd w:id="73"/>
          </w:p>
        </w:tc>
      </w:tr>
      <w:tr w14:paraId="07A2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6" w:type="dxa"/>
            <w:tcBorders>
              <w:tl2br w:val="nil"/>
              <w:tr2bl w:val="nil"/>
            </w:tcBorders>
            <w:vAlign w:val="center"/>
          </w:tcPr>
          <w:p w14:paraId="046240BE">
            <w:pPr>
              <w:spacing w:after="0" w:line="320" w:lineRule="exact"/>
              <w:jc w:val="center"/>
              <w:rPr>
                <w:rFonts w:cs="仿宋" w:asciiTheme="minorEastAsia" w:hAnsiTheme="minorEastAsia" w:eastAsiaTheme="minorEastAsia"/>
                <w:sz w:val="18"/>
                <w:szCs w:val="18"/>
              </w:rPr>
            </w:pPr>
            <w:bookmarkStart w:id="74" w:name="_Toc21833"/>
            <w:bookmarkStart w:id="75" w:name="_Toc7653"/>
            <w:bookmarkStart w:id="76" w:name="_Toc20743"/>
            <w:r>
              <w:rPr>
                <w:rFonts w:hint="eastAsia" w:cs="仿宋" w:asciiTheme="minorEastAsia" w:hAnsiTheme="minorEastAsia" w:eastAsiaTheme="minorEastAsia"/>
                <w:sz w:val="18"/>
                <w:szCs w:val="18"/>
              </w:rPr>
              <w:t>9</w:t>
            </w:r>
            <w:bookmarkEnd w:id="74"/>
            <w:bookmarkEnd w:id="75"/>
            <w:bookmarkEnd w:id="76"/>
          </w:p>
        </w:tc>
        <w:tc>
          <w:tcPr>
            <w:tcW w:w="1480" w:type="dxa"/>
            <w:tcBorders>
              <w:tl2br w:val="nil"/>
              <w:tr2bl w:val="nil"/>
            </w:tcBorders>
            <w:vAlign w:val="center"/>
          </w:tcPr>
          <w:p w14:paraId="485A7018">
            <w:pPr>
              <w:spacing w:after="0" w:line="320" w:lineRule="exact"/>
              <w:jc w:val="center"/>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高等数学</w:t>
            </w:r>
          </w:p>
        </w:tc>
        <w:tc>
          <w:tcPr>
            <w:tcW w:w="7093" w:type="dxa"/>
            <w:tcBorders>
              <w:tl2br w:val="nil"/>
              <w:tr2bl w:val="nil"/>
            </w:tcBorders>
          </w:tcPr>
          <w:p w14:paraId="508B35F7">
            <w:pPr>
              <w:spacing w:after="0" w:line="320" w:lineRule="exact"/>
              <w:ind w:firstLine="360" w:firstLineChars="200"/>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本课程旨在培养学生运用数学中的微积分学、微分方程、概率论与数理统计等相关的基本思想方法，培养学生的基本运算能力，逻辑推理能力以及解决实际问题的能力，使学生能够运用数学思维解决实际学习和工作中出现的问题，提升学生的综合素质。</w:t>
            </w:r>
          </w:p>
        </w:tc>
      </w:tr>
      <w:tr w14:paraId="07AC6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626" w:type="dxa"/>
            <w:tcBorders>
              <w:tl2br w:val="nil"/>
              <w:tr2bl w:val="nil"/>
            </w:tcBorders>
            <w:vAlign w:val="center"/>
          </w:tcPr>
          <w:p w14:paraId="708463D5">
            <w:pPr>
              <w:spacing w:after="0" w:line="320" w:lineRule="exact"/>
              <w:jc w:val="center"/>
              <w:rPr>
                <w:rFonts w:cs="仿宋" w:asciiTheme="minorEastAsia" w:hAnsiTheme="minorEastAsia" w:eastAsiaTheme="minorEastAsia"/>
                <w:sz w:val="18"/>
                <w:szCs w:val="18"/>
              </w:rPr>
            </w:pPr>
            <w:bookmarkStart w:id="77" w:name="_Toc20480"/>
            <w:bookmarkStart w:id="78" w:name="_Toc16289"/>
            <w:bookmarkStart w:id="79" w:name="_Toc4939"/>
            <w:r>
              <w:rPr>
                <w:rFonts w:hint="eastAsia" w:cs="仿宋" w:asciiTheme="minorEastAsia" w:hAnsiTheme="minorEastAsia" w:eastAsiaTheme="minorEastAsia"/>
                <w:sz w:val="18"/>
                <w:szCs w:val="18"/>
              </w:rPr>
              <w:t>11</w:t>
            </w:r>
            <w:bookmarkEnd w:id="77"/>
            <w:bookmarkEnd w:id="78"/>
            <w:bookmarkEnd w:id="79"/>
          </w:p>
        </w:tc>
        <w:tc>
          <w:tcPr>
            <w:tcW w:w="1480" w:type="dxa"/>
            <w:tcBorders>
              <w:tl2br w:val="nil"/>
              <w:tr2bl w:val="nil"/>
            </w:tcBorders>
            <w:vAlign w:val="center"/>
          </w:tcPr>
          <w:p w14:paraId="21F6C4E9">
            <w:pPr>
              <w:spacing w:after="0" w:line="320" w:lineRule="exact"/>
              <w:jc w:val="center"/>
              <w:rPr>
                <w:rFonts w:cs="仿宋" w:asciiTheme="minorEastAsia" w:hAnsiTheme="minorEastAsia" w:eastAsiaTheme="minorEastAsia"/>
                <w:sz w:val="18"/>
                <w:szCs w:val="18"/>
              </w:rPr>
            </w:pPr>
            <w:bookmarkStart w:id="80" w:name="_Toc3635"/>
            <w:bookmarkStart w:id="81" w:name="_Toc3064"/>
            <w:bookmarkStart w:id="82" w:name="_Toc12669"/>
            <w:r>
              <w:rPr>
                <w:rFonts w:hint="eastAsia" w:cs="仿宋" w:asciiTheme="minorEastAsia" w:hAnsiTheme="minorEastAsia" w:eastAsiaTheme="minorEastAsia"/>
                <w:sz w:val="18"/>
                <w:szCs w:val="18"/>
              </w:rPr>
              <w:t>军事训练</w:t>
            </w:r>
            <w:bookmarkEnd w:id="80"/>
            <w:bookmarkEnd w:id="81"/>
          </w:p>
          <w:p w14:paraId="12ECF317">
            <w:pPr>
              <w:spacing w:after="0" w:line="320" w:lineRule="exact"/>
              <w:jc w:val="center"/>
              <w:rPr>
                <w:rFonts w:cs="仿宋" w:asciiTheme="minorEastAsia" w:hAnsiTheme="minorEastAsia" w:eastAsiaTheme="minorEastAsia"/>
                <w:sz w:val="18"/>
                <w:szCs w:val="18"/>
              </w:rPr>
            </w:pPr>
            <w:bookmarkStart w:id="83" w:name="_Toc14967"/>
            <w:bookmarkStart w:id="84" w:name="_Toc27589"/>
            <w:r>
              <w:rPr>
                <w:rFonts w:hint="eastAsia" w:cs="仿宋" w:asciiTheme="minorEastAsia" w:hAnsiTheme="minorEastAsia" w:eastAsiaTheme="minorEastAsia"/>
                <w:sz w:val="18"/>
                <w:szCs w:val="18"/>
              </w:rPr>
              <w:t>军事理论</w:t>
            </w:r>
            <w:bookmarkEnd w:id="82"/>
            <w:bookmarkEnd w:id="83"/>
            <w:bookmarkEnd w:id="84"/>
          </w:p>
          <w:p w14:paraId="27368808">
            <w:pPr>
              <w:spacing w:after="0" w:line="320" w:lineRule="exact"/>
              <w:ind w:firstLine="360" w:firstLineChars="200"/>
              <w:jc w:val="center"/>
              <w:rPr>
                <w:rFonts w:cs="仿宋" w:asciiTheme="minorEastAsia" w:hAnsiTheme="minorEastAsia" w:eastAsiaTheme="minorEastAsia"/>
                <w:sz w:val="18"/>
                <w:szCs w:val="18"/>
              </w:rPr>
            </w:pPr>
          </w:p>
        </w:tc>
        <w:tc>
          <w:tcPr>
            <w:tcW w:w="7093" w:type="dxa"/>
            <w:tcBorders>
              <w:tl2br w:val="nil"/>
              <w:tr2bl w:val="nil"/>
            </w:tcBorders>
          </w:tcPr>
          <w:p w14:paraId="720D6A1A">
            <w:pPr>
              <w:spacing w:after="0" w:line="320" w:lineRule="exact"/>
              <w:ind w:firstLine="360" w:firstLineChars="200"/>
              <w:rPr>
                <w:rFonts w:cs="仿宋" w:asciiTheme="minorEastAsia" w:hAnsiTheme="minorEastAsia" w:eastAsiaTheme="minorEastAsia"/>
                <w:sz w:val="18"/>
                <w:szCs w:val="18"/>
                <w:u w:color="FFFFFF" w:themeColor="background1"/>
              </w:rPr>
            </w:pPr>
            <w:bookmarkStart w:id="85" w:name="_Toc22245"/>
            <w:r>
              <w:rPr>
                <w:rFonts w:hint="eastAsia" w:cs="仿宋" w:asciiTheme="minorEastAsia" w:hAnsiTheme="minorEastAsia" w:eastAsiaTheme="minorEastAsia"/>
                <w:sz w:val="18"/>
                <w:szCs w:val="18"/>
                <w:u w:color="FFFFFF" w:themeColor="background1"/>
              </w:rPr>
              <w:t>军事训练、军事理论课程以国防教育为主线，使大学生掌握基本军事理论与军事技能，增强学生国防观念、国家安全意识和忧患危机意识，弘扬爱国主义精神、传承红色基因、提高学生综合国防素质。主要教学内容：《军事训练》包括共同条令教育与训练、射击与战术训练、防卫技能与战时防护训练、战备基础与应用训练等内容。《军事理论》包括中国国防、国家安全、军事思想、现代战争、信息化装备等</w:t>
            </w:r>
            <w:bookmarkEnd w:id="85"/>
            <w:r>
              <w:rPr>
                <w:rFonts w:hint="eastAsia" w:cs="仿宋" w:asciiTheme="minorEastAsia" w:hAnsiTheme="minorEastAsia" w:eastAsiaTheme="minorEastAsia"/>
                <w:sz w:val="18"/>
                <w:szCs w:val="18"/>
                <w:u w:color="FFFFFF" w:themeColor="background1"/>
              </w:rPr>
              <w:t>。</w:t>
            </w:r>
          </w:p>
        </w:tc>
      </w:tr>
      <w:tr w14:paraId="05ABF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626" w:type="dxa"/>
            <w:tcBorders>
              <w:tl2br w:val="nil"/>
              <w:tr2bl w:val="nil"/>
            </w:tcBorders>
            <w:vAlign w:val="center"/>
          </w:tcPr>
          <w:p w14:paraId="7C087D5C">
            <w:pPr>
              <w:spacing w:after="0" w:line="320" w:lineRule="exact"/>
              <w:jc w:val="center"/>
              <w:rPr>
                <w:rFonts w:cs="仿宋" w:asciiTheme="minorEastAsia" w:hAnsiTheme="minorEastAsia" w:eastAsiaTheme="minorEastAsia"/>
                <w:sz w:val="18"/>
                <w:szCs w:val="18"/>
              </w:rPr>
            </w:pPr>
            <w:bookmarkStart w:id="86" w:name="_Toc21537"/>
            <w:bookmarkStart w:id="87" w:name="_Toc9464"/>
            <w:r>
              <w:rPr>
                <w:rFonts w:hint="eastAsia" w:cs="仿宋" w:asciiTheme="minorEastAsia" w:hAnsiTheme="minorEastAsia" w:eastAsiaTheme="minorEastAsia"/>
                <w:sz w:val="18"/>
                <w:szCs w:val="18"/>
              </w:rPr>
              <w:t>12</w:t>
            </w:r>
            <w:bookmarkEnd w:id="86"/>
            <w:bookmarkEnd w:id="87"/>
          </w:p>
        </w:tc>
        <w:tc>
          <w:tcPr>
            <w:tcW w:w="1480" w:type="dxa"/>
            <w:tcBorders>
              <w:tl2br w:val="nil"/>
              <w:tr2bl w:val="nil"/>
            </w:tcBorders>
            <w:vAlign w:val="center"/>
          </w:tcPr>
          <w:p w14:paraId="6CBE3E89">
            <w:pPr>
              <w:spacing w:after="0" w:line="320" w:lineRule="exact"/>
              <w:jc w:val="center"/>
              <w:rPr>
                <w:rFonts w:cs="仿宋" w:asciiTheme="minorEastAsia" w:hAnsiTheme="minorEastAsia" w:eastAsiaTheme="minorEastAsia"/>
                <w:sz w:val="18"/>
                <w:szCs w:val="18"/>
              </w:rPr>
            </w:pPr>
            <w:bookmarkStart w:id="88" w:name="_Toc27622"/>
            <w:bookmarkStart w:id="89" w:name="_Toc5128"/>
            <w:r>
              <w:rPr>
                <w:rFonts w:hint="eastAsia" w:cs="仿宋" w:asciiTheme="minorEastAsia" w:hAnsiTheme="minorEastAsia" w:eastAsiaTheme="minorEastAsia"/>
                <w:sz w:val="18"/>
                <w:szCs w:val="18"/>
              </w:rPr>
              <w:t>劳动</w:t>
            </w:r>
            <w:bookmarkEnd w:id="88"/>
            <w:bookmarkEnd w:id="89"/>
            <w:r>
              <w:rPr>
                <w:rFonts w:hint="eastAsia" w:cs="仿宋" w:asciiTheme="minorEastAsia" w:hAnsiTheme="minorEastAsia" w:eastAsiaTheme="minorEastAsia"/>
                <w:sz w:val="18"/>
                <w:szCs w:val="18"/>
              </w:rPr>
              <w:t>教育</w:t>
            </w:r>
          </w:p>
        </w:tc>
        <w:tc>
          <w:tcPr>
            <w:tcW w:w="7093" w:type="dxa"/>
            <w:tcBorders>
              <w:tl2br w:val="nil"/>
              <w:tr2bl w:val="nil"/>
            </w:tcBorders>
          </w:tcPr>
          <w:p w14:paraId="59720162">
            <w:pPr>
              <w:spacing w:after="0" w:line="320" w:lineRule="exact"/>
              <w:ind w:firstLine="360" w:firstLineChars="200"/>
              <w:rPr>
                <w:rFonts w:cs="仿宋" w:asciiTheme="minorEastAsia" w:hAnsiTheme="minorEastAsia" w:eastAsiaTheme="minorEastAsia"/>
                <w:sz w:val="18"/>
                <w:szCs w:val="18"/>
                <w:u w:color="FFFFFF" w:themeColor="background1"/>
              </w:rPr>
            </w:pPr>
            <w:r>
              <w:rPr>
                <w:rFonts w:hint="eastAsia" w:cs="仿宋" w:asciiTheme="minorEastAsia" w:hAnsiTheme="minorEastAsia" w:eastAsiaTheme="minorEastAsia"/>
                <w:sz w:val="18"/>
                <w:szCs w:val="18"/>
                <w:u w:color="FFFFFF" w:themeColor="background1"/>
              </w:rPr>
              <w:t>通过劳动教育讲座，线上劳动课程学习，将劳动教育与实习实训、实践活动和生活劳动相结合，在劳动课程教育和劳动实践中培养学生的职业道德、职业能力、职业品质，引导学生热爱劳动、崇尚劳动、尊重劳动,培养学生树立劳动光荣意识和劳模精神。</w:t>
            </w:r>
          </w:p>
        </w:tc>
      </w:tr>
      <w:tr w14:paraId="29F8A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626" w:type="dxa"/>
            <w:tcBorders>
              <w:tl2br w:val="nil"/>
              <w:tr2bl w:val="nil"/>
            </w:tcBorders>
            <w:vAlign w:val="center"/>
          </w:tcPr>
          <w:p w14:paraId="3046BC9E">
            <w:pPr>
              <w:spacing w:after="0" w:line="320" w:lineRule="exact"/>
              <w:jc w:val="center"/>
              <w:rPr>
                <w:rFonts w:cs="仿宋" w:asciiTheme="minorEastAsia" w:hAnsiTheme="minorEastAsia" w:eastAsiaTheme="minorEastAsia"/>
                <w:sz w:val="18"/>
                <w:szCs w:val="18"/>
              </w:rPr>
            </w:pPr>
            <w:bookmarkStart w:id="90" w:name="_Toc28411"/>
            <w:bookmarkStart w:id="91" w:name="_Toc24226"/>
            <w:bookmarkStart w:id="92" w:name="_Toc22667"/>
            <w:r>
              <w:rPr>
                <w:rFonts w:hint="eastAsia" w:cs="仿宋" w:asciiTheme="minorEastAsia" w:hAnsiTheme="minorEastAsia" w:eastAsiaTheme="minorEastAsia"/>
                <w:sz w:val="18"/>
                <w:szCs w:val="18"/>
              </w:rPr>
              <w:t>1</w:t>
            </w:r>
            <w:bookmarkEnd w:id="90"/>
            <w:bookmarkEnd w:id="91"/>
            <w:bookmarkEnd w:id="92"/>
            <w:r>
              <w:rPr>
                <w:rFonts w:hint="eastAsia" w:cs="仿宋" w:asciiTheme="minorEastAsia" w:hAnsiTheme="minorEastAsia" w:eastAsiaTheme="minorEastAsia"/>
                <w:sz w:val="18"/>
                <w:szCs w:val="18"/>
              </w:rPr>
              <w:t>3</w:t>
            </w:r>
          </w:p>
        </w:tc>
        <w:tc>
          <w:tcPr>
            <w:tcW w:w="1480" w:type="dxa"/>
            <w:tcBorders>
              <w:tl2br w:val="nil"/>
              <w:tr2bl w:val="nil"/>
            </w:tcBorders>
            <w:vAlign w:val="center"/>
          </w:tcPr>
          <w:p w14:paraId="24BED14B">
            <w:pPr>
              <w:spacing w:after="0" w:line="320" w:lineRule="exact"/>
              <w:jc w:val="center"/>
              <w:rPr>
                <w:rFonts w:cs="仿宋" w:asciiTheme="minorEastAsia" w:hAnsiTheme="minorEastAsia" w:eastAsiaTheme="minorEastAsia"/>
                <w:sz w:val="18"/>
                <w:szCs w:val="18"/>
              </w:rPr>
            </w:pPr>
            <w:bookmarkStart w:id="93" w:name="_Toc4800"/>
            <w:bookmarkStart w:id="94" w:name="_Toc31484"/>
            <w:bookmarkStart w:id="95" w:name="_Toc17345"/>
            <w:r>
              <w:rPr>
                <w:rFonts w:hint="eastAsia" w:cs="仿宋" w:asciiTheme="minorEastAsia" w:hAnsiTheme="minorEastAsia" w:eastAsiaTheme="minorEastAsia"/>
                <w:sz w:val="18"/>
                <w:szCs w:val="18"/>
              </w:rPr>
              <w:t>人文素养、科学素养、美育课程</w:t>
            </w:r>
            <w:bookmarkEnd w:id="93"/>
            <w:bookmarkEnd w:id="94"/>
            <w:bookmarkEnd w:id="95"/>
          </w:p>
        </w:tc>
        <w:tc>
          <w:tcPr>
            <w:tcW w:w="7093" w:type="dxa"/>
            <w:tcBorders>
              <w:tl2br w:val="nil"/>
              <w:tr2bl w:val="nil"/>
            </w:tcBorders>
          </w:tcPr>
          <w:p w14:paraId="476FE032">
            <w:pPr>
              <w:spacing w:after="0" w:line="320" w:lineRule="exact"/>
              <w:ind w:firstLine="360" w:firstLineChars="200"/>
              <w:rPr>
                <w:rFonts w:cs="仿宋" w:asciiTheme="minorEastAsia" w:hAnsiTheme="minorEastAsia" w:eastAsiaTheme="minorEastAsia"/>
                <w:sz w:val="18"/>
                <w:szCs w:val="18"/>
                <w:u w:color="FFFFFF" w:themeColor="background1"/>
              </w:rPr>
            </w:pPr>
            <w:bookmarkStart w:id="96" w:name="_Toc22925"/>
            <w:bookmarkStart w:id="97" w:name="_Toc3794"/>
            <w:bookmarkStart w:id="98" w:name="_Toc179"/>
            <w:r>
              <w:rPr>
                <w:rFonts w:hint="eastAsia" w:cs="仿宋" w:asciiTheme="minorEastAsia" w:hAnsiTheme="minorEastAsia" w:eastAsiaTheme="minorEastAsia"/>
                <w:sz w:val="18"/>
                <w:szCs w:val="18"/>
                <w:u w:color="FFFFFF" w:themeColor="background1"/>
              </w:rPr>
              <w:t>根据专业人才培养需要，提供传统文化、创新创业、演讲与口才、安全教育、音乐欣赏、特色体育等人文素养、科学素养、体育美育选修课程，每学期至少选修1门课程，采用线上线下混合式教学，通过在线考试获取选修课程成绩与学分。</w:t>
            </w:r>
            <w:bookmarkEnd w:id="96"/>
            <w:bookmarkEnd w:id="97"/>
            <w:bookmarkEnd w:id="98"/>
          </w:p>
        </w:tc>
      </w:tr>
    </w:tbl>
    <w:p w14:paraId="4475DE85">
      <w:pPr>
        <w:ind w:firstLine="562" w:firstLineChars="200"/>
        <w:rPr>
          <w:rFonts w:ascii="宋体" w:hAnsi="宋体" w:eastAsia="宋体" w:cs="宋体"/>
          <w:b/>
          <w:bCs/>
          <w:sz w:val="28"/>
          <w:szCs w:val="28"/>
        </w:rPr>
      </w:pPr>
      <w:r>
        <w:rPr>
          <w:rFonts w:hint="eastAsia" w:ascii="宋体" w:hAnsi="宋体" w:eastAsia="宋体" w:cs="宋体"/>
          <w:b/>
          <w:bCs/>
          <w:sz w:val="28"/>
          <w:szCs w:val="28"/>
        </w:rPr>
        <w:t>（二）专业课程</w:t>
      </w:r>
    </w:p>
    <w:p w14:paraId="78E66EE7">
      <w:pPr>
        <w:ind w:firstLine="562" w:firstLineChars="200"/>
        <w:rPr>
          <w:rFonts w:ascii="宋体" w:hAnsi="宋体" w:eastAsia="宋体" w:cs="宋体"/>
          <w:b/>
          <w:bCs/>
          <w:sz w:val="28"/>
          <w:szCs w:val="28"/>
          <w:lang w:val="zh-CN"/>
        </w:rPr>
      </w:pPr>
      <w:r>
        <w:rPr>
          <w:rFonts w:hint="eastAsia" w:ascii="宋体" w:hAnsi="宋体" w:eastAsia="宋体" w:cs="宋体"/>
          <w:b/>
          <w:bCs/>
          <w:sz w:val="28"/>
          <w:szCs w:val="28"/>
        </w:rPr>
        <w:t>1.</w:t>
      </w:r>
      <w:r>
        <w:rPr>
          <w:rFonts w:hint="eastAsia" w:ascii="宋体" w:hAnsi="宋体" w:eastAsia="宋体" w:cs="宋体"/>
          <w:b/>
          <w:bCs/>
          <w:sz w:val="28"/>
          <w:szCs w:val="28"/>
          <w:lang w:val="zh-CN"/>
        </w:rPr>
        <w:t>中职部分</w:t>
      </w:r>
    </w:p>
    <w:p w14:paraId="3B3984E9">
      <w:pPr>
        <w:ind w:firstLine="562" w:firstLineChars="200"/>
        <w:rPr>
          <w:rFonts w:ascii="宋体" w:hAnsi="宋体" w:eastAsia="宋体" w:cs="宋体"/>
          <w:b/>
          <w:bCs/>
          <w:sz w:val="28"/>
          <w:szCs w:val="28"/>
          <w:lang w:val="zh-CN"/>
        </w:rPr>
      </w:pPr>
    </w:p>
    <w:p w14:paraId="28ACB530">
      <w:pPr>
        <w:ind w:firstLine="562" w:firstLineChars="200"/>
        <w:rPr>
          <w:rFonts w:ascii="宋体" w:hAnsi="宋体" w:eastAsia="宋体" w:cs="宋体"/>
          <w:b/>
          <w:bCs/>
          <w:sz w:val="28"/>
          <w:szCs w:val="28"/>
          <w:lang w:val="zh-CN"/>
        </w:rPr>
      </w:pPr>
    </w:p>
    <w:p w14:paraId="04AFC46A">
      <w:pPr>
        <w:ind w:firstLine="562" w:firstLineChars="200"/>
        <w:rPr>
          <w:rFonts w:ascii="宋体" w:hAnsi="宋体" w:eastAsia="宋体" w:cs="宋体"/>
          <w:b/>
          <w:bCs/>
          <w:sz w:val="28"/>
          <w:szCs w:val="28"/>
          <w:lang w:val="zh-CN"/>
        </w:rPr>
      </w:pPr>
    </w:p>
    <w:tbl>
      <w:tblPr>
        <w:tblStyle w:val="14"/>
        <w:tblpPr w:leftFromText="180" w:rightFromText="180" w:vertAnchor="text" w:horzAnchor="page" w:tblpX="1657" w:tblpY="909"/>
        <w:tblOverlap w:val="never"/>
        <w:tblW w:w="89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1134"/>
        <w:gridCol w:w="708"/>
        <w:gridCol w:w="709"/>
        <w:gridCol w:w="5670"/>
      </w:tblGrid>
      <w:tr w14:paraId="3057D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710" w:type="dxa"/>
            <w:noWrap/>
            <w:vAlign w:val="center"/>
          </w:tcPr>
          <w:p w14:paraId="660EBF0B">
            <w:pPr>
              <w:widowControl w:val="0"/>
              <w:jc w:val="center"/>
              <w:rPr>
                <w:rFonts w:ascii="宋体" w:hAnsi="宋体"/>
                <w:szCs w:val="21"/>
              </w:rPr>
            </w:pPr>
            <w:r>
              <w:rPr>
                <w:rFonts w:hint="eastAsia" w:ascii="宋体" w:hAnsi="宋体"/>
                <w:szCs w:val="21"/>
              </w:rPr>
              <w:t>学序号</w:t>
            </w:r>
          </w:p>
        </w:tc>
        <w:tc>
          <w:tcPr>
            <w:tcW w:w="1134" w:type="dxa"/>
            <w:noWrap/>
            <w:vAlign w:val="center"/>
          </w:tcPr>
          <w:p w14:paraId="5EC3ED19">
            <w:pPr>
              <w:widowControl w:val="0"/>
              <w:jc w:val="center"/>
              <w:rPr>
                <w:rFonts w:ascii="宋体" w:hAnsi="宋体"/>
                <w:szCs w:val="21"/>
              </w:rPr>
            </w:pPr>
            <w:r>
              <w:rPr>
                <w:rFonts w:hint="eastAsia" w:ascii="宋体" w:hAnsi="宋体"/>
                <w:szCs w:val="21"/>
              </w:rPr>
              <w:t>课程名称</w:t>
            </w:r>
          </w:p>
        </w:tc>
        <w:tc>
          <w:tcPr>
            <w:tcW w:w="708" w:type="dxa"/>
            <w:noWrap/>
            <w:vAlign w:val="center"/>
          </w:tcPr>
          <w:p w14:paraId="1D6BCBB3">
            <w:pPr>
              <w:widowControl w:val="0"/>
              <w:jc w:val="center"/>
              <w:rPr>
                <w:rFonts w:ascii="宋体" w:hAnsi="宋体"/>
                <w:szCs w:val="21"/>
              </w:rPr>
            </w:pPr>
            <w:r>
              <w:rPr>
                <w:rFonts w:hint="eastAsia" w:ascii="宋体" w:hAnsi="宋体"/>
                <w:szCs w:val="21"/>
              </w:rPr>
              <w:t>学分</w:t>
            </w:r>
          </w:p>
        </w:tc>
        <w:tc>
          <w:tcPr>
            <w:tcW w:w="709" w:type="dxa"/>
            <w:noWrap/>
            <w:vAlign w:val="center"/>
          </w:tcPr>
          <w:p w14:paraId="4B724FEB">
            <w:pPr>
              <w:widowControl w:val="0"/>
              <w:jc w:val="center"/>
              <w:rPr>
                <w:rFonts w:ascii="宋体" w:hAnsi="宋体"/>
                <w:szCs w:val="21"/>
              </w:rPr>
            </w:pPr>
            <w:r>
              <w:rPr>
                <w:rFonts w:hint="eastAsia" w:ascii="宋体" w:hAnsi="宋体"/>
                <w:szCs w:val="21"/>
              </w:rPr>
              <w:t>学时</w:t>
            </w:r>
          </w:p>
        </w:tc>
        <w:tc>
          <w:tcPr>
            <w:tcW w:w="5670" w:type="dxa"/>
            <w:noWrap/>
            <w:vAlign w:val="center"/>
          </w:tcPr>
          <w:p w14:paraId="7B70C58E">
            <w:pPr>
              <w:widowControl w:val="0"/>
              <w:jc w:val="center"/>
              <w:rPr>
                <w:rFonts w:ascii="宋体" w:hAnsi="宋体"/>
                <w:szCs w:val="21"/>
              </w:rPr>
            </w:pPr>
            <w:r>
              <w:rPr>
                <w:rFonts w:hint="eastAsia" w:cs="仿宋" w:asciiTheme="minorEastAsia" w:hAnsiTheme="minorEastAsia" w:eastAsiaTheme="minorEastAsia"/>
                <w:b/>
                <w:bCs/>
                <w:sz w:val="18"/>
                <w:szCs w:val="18"/>
              </w:rPr>
              <w:t>主要教学内容与要求</w:t>
            </w:r>
          </w:p>
        </w:tc>
      </w:tr>
      <w:tr w14:paraId="4ED71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9" w:hRule="atLeast"/>
        </w:trPr>
        <w:tc>
          <w:tcPr>
            <w:tcW w:w="710" w:type="dxa"/>
            <w:vAlign w:val="center"/>
          </w:tcPr>
          <w:p w14:paraId="3577EB4E">
            <w:pPr>
              <w:widowControl w:val="0"/>
              <w:jc w:val="center"/>
              <w:rPr>
                <w:rFonts w:ascii="宋体" w:hAnsi="宋体"/>
                <w:szCs w:val="21"/>
              </w:rPr>
            </w:pPr>
            <w:r>
              <w:rPr>
                <w:rFonts w:hint="eastAsia" w:ascii="宋体" w:hAnsi="宋体"/>
                <w:szCs w:val="21"/>
              </w:rPr>
              <w:t>1</w:t>
            </w:r>
          </w:p>
        </w:tc>
        <w:tc>
          <w:tcPr>
            <w:tcW w:w="1134" w:type="dxa"/>
            <w:vAlign w:val="center"/>
          </w:tcPr>
          <w:p w14:paraId="548AE44E">
            <w:pPr>
              <w:widowControl w:val="0"/>
              <w:jc w:val="center"/>
              <w:rPr>
                <w:szCs w:val="21"/>
              </w:rPr>
            </w:pPr>
            <w:r>
              <w:rPr>
                <w:rFonts w:hint="eastAsia" w:cs="仿宋" w:asciiTheme="minorEastAsia" w:hAnsiTheme="minorEastAsia" w:eastAsiaTheme="minorEastAsia"/>
                <w:sz w:val="18"/>
                <w:szCs w:val="18"/>
              </w:rPr>
              <w:t>会计基本技能</w:t>
            </w:r>
          </w:p>
        </w:tc>
        <w:tc>
          <w:tcPr>
            <w:tcW w:w="708" w:type="dxa"/>
            <w:vAlign w:val="center"/>
          </w:tcPr>
          <w:p w14:paraId="6F655D6C">
            <w:pPr>
              <w:widowControl w:val="0"/>
              <w:jc w:val="center"/>
              <w:rPr>
                <w:szCs w:val="21"/>
              </w:rPr>
            </w:pPr>
            <w:r>
              <w:rPr>
                <w:rFonts w:hint="eastAsia"/>
                <w:szCs w:val="21"/>
              </w:rPr>
              <w:t>4</w:t>
            </w:r>
          </w:p>
        </w:tc>
        <w:tc>
          <w:tcPr>
            <w:tcW w:w="709" w:type="dxa"/>
            <w:vAlign w:val="center"/>
          </w:tcPr>
          <w:p w14:paraId="1EBDF751">
            <w:pPr>
              <w:widowControl w:val="0"/>
              <w:jc w:val="center"/>
              <w:rPr>
                <w:szCs w:val="21"/>
              </w:rPr>
            </w:pPr>
            <w:r>
              <w:rPr>
                <w:rFonts w:hint="eastAsia"/>
                <w:szCs w:val="21"/>
              </w:rPr>
              <w:t>72</w:t>
            </w:r>
          </w:p>
        </w:tc>
        <w:tc>
          <w:tcPr>
            <w:tcW w:w="5670" w:type="dxa"/>
            <w:vAlign w:val="center"/>
          </w:tcPr>
          <w:p w14:paraId="78C5944C">
            <w:pPr>
              <w:widowControl w:val="0"/>
              <w:jc w:val="left"/>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本课程是一门专业性、实践性和应用性较强的专业基础课程，掌握点钞、中英文录入、数字录入与数字书写的基本方法；能熟练运用单指、多指技法点钞；能熟练操作计算机和数字键盘；会正确填写支票、票等开票日期及大小写金额；会正确登记账簿数字，运用单指、多指技法点钞中英文录入、数字录入与数字书写、填写支票、发票等开票日期及大小写金额；会正确登记账簿数字</w:t>
            </w:r>
          </w:p>
        </w:tc>
      </w:tr>
      <w:tr w14:paraId="1F6D9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710" w:type="dxa"/>
            <w:vAlign w:val="center"/>
          </w:tcPr>
          <w:p w14:paraId="2CD1E2E6">
            <w:pPr>
              <w:widowControl w:val="0"/>
              <w:jc w:val="center"/>
              <w:rPr>
                <w:rFonts w:ascii="宋体" w:hAnsi="宋体"/>
                <w:szCs w:val="21"/>
              </w:rPr>
            </w:pPr>
            <w:r>
              <w:rPr>
                <w:rFonts w:hint="eastAsia" w:ascii="宋体" w:hAnsi="宋体"/>
                <w:szCs w:val="21"/>
              </w:rPr>
              <w:t>2</w:t>
            </w:r>
          </w:p>
        </w:tc>
        <w:tc>
          <w:tcPr>
            <w:tcW w:w="1134" w:type="dxa"/>
            <w:vAlign w:val="center"/>
          </w:tcPr>
          <w:p w14:paraId="0AFA5358">
            <w:pPr>
              <w:widowControl w:val="0"/>
              <w:jc w:val="center"/>
              <w:rPr>
                <w:szCs w:val="21"/>
              </w:rPr>
            </w:pPr>
            <w:r>
              <w:rPr>
                <w:rFonts w:hint="eastAsia"/>
                <w:szCs w:val="21"/>
              </w:rPr>
              <w:t>基础会计</w:t>
            </w:r>
          </w:p>
        </w:tc>
        <w:tc>
          <w:tcPr>
            <w:tcW w:w="708" w:type="dxa"/>
            <w:vAlign w:val="center"/>
          </w:tcPr>
          <w:p w14:paraId="405C1CE1">
            <w:pPr>
              <w:widowControl w:val="0"/>
              <w:jc w:val="center"/>
              <w:rPr>
                <w:szCs w:val="21"/>
              </w:rPr>
            </w:pPr>
            <w:r>
              <w:rPr>
                <w:rFonts w:hint="eastAsia"/>
                <w:szCs w:val="21"/>
              </w:rPr>
              <w:t>6</w:t>
            </w:r>
          </w:p>
        </w:tc>
        <w:tc>
          <w:tcPr>
            <w:tcW w:w="709" w:type="dxa"/>
            <w:vAlign w:val="center"/>
          </w:tcPr>
          <w:p w14:paraId="28CCA946">
            <w:pPr>
              <w:widowControl w:val="0"/>
              <w:jc w:val="center"/>
              <w:rPr>
                <w:szCs w:val="21"/>
              </w:rPr>
            </w:pPr>
            <w:r>
              <w:rPr>
                <w:rFonts w:hint="eastAsia"/>
                <w:szCs w:val="21"/>
              </w:rPr>
              <w:t>108</w:t>
            </w:r>
          </w:p>
        </w:tc>
        <w:tc>
          <w:tcPr>
            <w:tcW w:w="5670" w:type="dxa"/>
            <w:vAlign w:val="center"/>
          </w:tcPr>
          <w:p w14:paraId="4E86AB7C">
            <w:pPr>
              <w:widowControl/>
              <w:jc w:val="left"/>
              <w:textAlignment w:val="center"/>
              <w:rPr>
                <w:rFonts w:ascii="宋体" w:hAnsi="宋体" w:cs="宋体"/>
                <w:color w:val="000000"/>
                <w:szCs w:val="21"/>
                <w:lang w:bidi="ar"/>
              </w:rPr>
            </w:pPr>
            <w:r>
              <w:rPr>
                <w:rFonts w:hint="eastAsia" w:cs="仿宋" w:asciiTheme="minorEastAsia" w:hAnsiTheme="minorEastAsia" w:eastAsiaTheme="minorEastAsia"/>
                <w:sz w:val="18"/>
                <w:szCs w:val="18"/>
              </w:rPr>
              <w:t>本课程是会计核算的理论基础，在采用最新的企业会计准则、</w:t>
            </w:r>
            <w:r>
              <w:rPr>
                <w:rFonts w:hint="eastAsia"/>
              </w:rPr>
              <w:fldChar w:fldCharType="begin"/>
            </w:r>
            <w:r>
              <w:instrText xml:space="preserve"> HYPERLINK "https://baike.baidu.com/item/%E4%BC%81%E4%B8%9A%E4%BC%9A%E8%AE%A1" \t "https://baike.baidu.com/item/%E5%9F%BA%E7%A1%80%E4%BC%9A%E8%AE%A1/_blank" </w:instrText>
            </w:r>
            <w:r>
              <w:rPr>
                <w:rFonts w:hint="eastAsia"/>
              </w:rPr>
              <w:fldChar w:fldCharType="separate"/>
            </w:r>
            <w:r>
              <w:rPr>
                <w:rFonts w:hint="eastAsia" w:cs="仿宋" w:asciiTheme="minorEastAsia" w:hAnsiTheme="minorEastAsia" w:eastAsiaTheme="minorEastAsia"/>
                <w:sz w:val="18"/>
                <w:szCs w:val="18"/>
              </w:rPr>
              <w:t>企业会计</w:t>
            </w:r>
            <w:r>
              <w:rPr>
                <w:rFonts w:hint="eastAsia" w:cs="仿宋" w:asciiTheme="minorEastAsia" w:hAnsiTheme="minorEastAsia" w:eastAsiaTheme="minorEastAsia"/>
                <w:sz w:val="18"/>
                <w:szCs w:val="18"/>
              </w:rPr>
              <w:fldChar w:fldCharType="end"/>
            </w:r>
            <w:r>
              <w:rPr>
                <w:rFonts w:hint="eastAsia" w:cs="仿宋" w:asciiTheme="minorEastAsia" w:hAnsiTheme="minorEastAsia" w:eastAsiaTheme="minorEastAsia"/>
                <w:sz w:val="18"/>
                <w:szCs w:val="18"/>
              </w:rPr>
              <w:t>制度的基础上，阐述了企业会计的基本理论、基本核算方法以及企业会计核算的基本方法。会计的工作职责与要求；熟悉会计核算工作程序；领会会计核算对象、会计核算方法体系和会计基础工作规范要求；会填制与审核原始凭证；会运用借贷记账法填制企业主要经济业务记账凭证；会登记主要会计账簿；会编制简单资产负债表和利润表</w:t>
            </w:r>
          </w:p>
        </w:tc>
      </w:tr>
      <w:tr w14:paraId="60DF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710" w:type="dxa"/>
            <w:vAlign w:val="center"/>
          </w:tcPr>
          <w:p w14:paraId="497BA88A">
            <w:pPr>
              <w:widowControl w:val="0"/>
              <w:jc w:val="center"/>
              <w:rPr>
                <w:rFonts w:ascii="宋体" w:hAnsi="宋体"/>
                <w:szCs w:val="21"/>
              </w:rPr>
            </w:pPr>
            <w:r>
              <w:rPr>
                <w:rFonts w:hint="eastAsia" w:ascii="宋体" w:hAnsi="宋体"/>
                <w:szCs w:val="21"/>
              </w:rPr>
              <w:t>3</w:t>
            </w:r>
          </w:p>
        </w:tc>
        <w:tc>
          <w:tcPr>
            <w:tcW w:w="1134" w:type="dxa"/>
            <w:vAlign w:val="center"/>
          </w:tcPr>
          <w:p w14:paraId="27FDA388">
            <w:pPr>
              <w:widowControl w:val="0"/>
              <w:tabs>
                <w:tab w:val="left" w:pos="252"/>
              </w:tabs>
              <w:jc w:val="left"/>
              <w:rPr>
                <w:szCs w:val="21"/>
              </w:rPr>
            </w:pPr>
            <w:r>
              <w:rPr>
                <w:rFonts w:hint="eastAsia" w:ascii="宋体" w:hAnsi="宋体"/>
                <w:szCs w:val="21"/>
              </w:rPr>
              <w:t>管理学基础</w:t>
            </w:r>
          </w:p>
        </w:tc>
        <w:tc>
          <w:tcPr>
            <w:tcW w:w="708" w:type="dxa"/>
            <w:vAlign w:val="center"/>
          </w:tcPr>
          <w:p w14:paraId="48775360">
            <w:pPr>
              <w:widowControl w:val="0"/>
              <w:jc w:val="center"/>
              <w:rPr>
                <w:szCs w:val="21"/>
              </w:rPr>
            </w:pPr>
            <w:r>
              <w:rPr>
                <w:rFonts w:hint="eastAsia" w:ascii="宋体" w:hAnsi="宋体"/>
                <w:szCs w:val="21"/>
              </w:rPr>
              <w:t>4</w:t>
            </w:r>
          </w:p>
        </w:tc>
        <w:tc>
          <w:tcPr>
            <w:tcW w:w="709" w:type="dxa"/>
            <w:vAlign w:val="center"/>
          </w:tcPr>
          <w:p w14:paraId="24C661D8">
            <w:pPr>
              <w:widowControl w:val="0"/>
              <w:jc w:val="center"/>
              <w:rPr>
                <w:szCs w:val="21"/>
              </w:rPr>
            </w:pPr>
            <w:r>
              <w:rPr>
                <w:rFonts w:hint="eastAsia" w:ascii="宋体" w:hAnsi="宋体"/>
                <w:szCs w:val="21"/>
              </w:rPr>
              <w:t>72</w:t>
            </w:r>
          </w:p>
        </w:tc>
        <w:tc>
          <w:tcPr>
            <w:tcW w:w="5670" w:type="dxa"/>
            <w:vAlign w:val="center"/>
          </w:tcPr>
          <w:p w14:paraId="69A45862">
            <w:pPr>
              <w:widowControl w:val="0"/>
              <w:jc w:val="both"/>
              <w:rPr>
                <w:rFonts w:ascii="宋体" w:hAnsi="宋体" w:cs="宋体"/>
                <w:color w:val="000000"/>
                <w:szCs w:val="21"/>
                <w:lang w:bidi="ar"/>
              </w:rPr>
            </w:pPr>
            <w:r>
              <w:rPr>
                <w:rFonts w:ascii="宋体" w:hAnsi="宋体" w:eastAsia="宋体" w:cs="宋体"/>
                <w:sz w:val="24"/>
                <w:szCs w:val="24"/>
              </w:rPr>
              <w:t>本课程主要</w:t>
            </w:r>
            <w:r>
              <w:rPr>
                <w:rFonts w:hint="eastAsia" w:ascii="宋体" w:hAnsi="宋体" w:eastAsia="宋体" w:cs="宋体"/>
                <w:sz w:val="24"/>
                <w:szCs w:val="24"/>
              </w:rPr>
              <w:t>阐述管理的基本特征及规律，系统掌握管理学的基本原理、基本体系和方法，把握管理职能对于各种组织的重要作用，运用全面的、发展的、系统的观点以及所学管理理论，去观察和分析现实的管理问题，正确把握管理活动内在规律，能具体理解认识管理的基本原理、概念、目的、性质、内容、结构、方法， 同时善于理论联系实际，能够将所学知识运用到实践中去，具备分析问题和解决问题的基本素质。</w:t>
            </w:r>
          </w:p>
        </w:tc>
      </w:tr>
      <w:tr w14:paraId="6C17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710" w:type="dxa"/>
            <w:vAlign w:val="center"/>
          </w:tcPr>
          <w:p w14:paraId="7D55511A">
            <w:pPr>
              <w:widowControl w:val="0"/>
              <w:jc w:val="center"/>
              <w:rPr>
                <w:rFonts w:ascii="宋体" w:hAnsi="宋体"/>
                <w:szCs w:val="21"/>
              </w:rPr>
            </w:pPr>
            <w:r>
              <w:rPr>
                <w:rFonts w:hint="eastAsia" w:ascii="宋体" w:hAnsi="宋体"/>
                <w:szCs w:val="21"/>
              </w:rPr>
              <w:t>5</w:t>
            </w:r>
          </w:p>
        </w:tc>
        <w:tc>
          <w:tcPr>
            <w:tcW w:w="1134" w:type="dxa"/>
            <w:vAlign w:val="center"/>
          </w:tcPr>
          <w:p w14:paraId="4D154FE0">
            <w:pPr>
              <w:widowControl w:val="0"/>
              <w:jc w:val="center"/>
              <w:rPr>
                <w:szCs w:val="21"/>
              </w:rPr>
            </w:pPr>
            <w:r>
              <w:rPr>
                <w:rFonts w:hint="eastAsia" w:ascii="宋体" w:hAnsi="宋体"/>
                <w:szCs w:val="21"/>
              </w:rPr>
              <w:t>商务智能概述</w:t>
            </w:r>
          </w:p>
        </w:tc>
        <w:tc>
          <w:tcPr>
            <w:tcW w:w="708" w:type="dxa"/>
            <w:vAlign w:val="center"/>
          </w:tcPr>
          <w:p w14:paraId="45A620E9">
            <w:pPr>
              <w:widowControl w:val="0"/>
              <w:jc w:val="center"/>
              <w:rPr>
                <w:szCs w:val="21"/>
              </w:rPr>
            </w:pPr>
            <w:r>
              <w:rPr>
                <w:rFonts w:hint="eastAsia" w:ascii="宋体" w:hAnsi="宋体"/>
                <w:szCs w:val="21"/>
              </w:rPr>
              <w:t>4</w:t>
            </w:r>
          </w:p>
        </w:tc>
        <w:tc>
          <w:tcPr>
            <w:tcW w:w="709" w:type="dxa"/>
            <w:vAlign w:val="center"/>
          </w:tcPr>
          <w:p w14:paraId="11497100">
            <w:pPr>
              <w:widowControl w:val="0"/>
              <w:jc w:val="center"/>
              <w:rPr>
                <w:szCs w:val="21"/>
              </w:rPr>
            </w:pPr>
            <w:r>
              <w:rPr>
                <w:rFonts w:hint="eastAsia" w:ascii="宋体" w:hAnsi="宋体"/>
                <w:szCs w:val="21"/>
              </w:rPr>
              <w:t>72</w:t>
            </w:r>
          </w:p>
        </w:tc>
        <w:tc>
          <w:tcPr>
            <w:tcW w:w="5670" w:type="dxa"/>
            <w:vAlign w:val="center"/>
          </w:tcPr>
          <w:p w14:paraId="4980C51F">
            <w:pPr>
              <w:widowControl w:val="0"/>
              <w:jc w:val="both"/>
              <w:rPr>
                <w:rFonts w:ascii="宋体" w:hAnsi="宋体" w:cs="宋体"/>
                <w:color w:val="000000"/>
                <w:szCs w:val="21"/>
                <w:lang w:bidi="ar"/>
              </w:rPr>
            </w:pPr>
            <w:r>
              <w:rPr>
                <w:rFonts w:hint="eastAsia" w:ascii="宋体" w:hAnsi="宋体" w:eastAsia="宋体" w:cs="宋体"/>
                <w:sz w:val="24"/>
                <w:szCs w:val="24"/>
              </w:rPr>
              <w:t>课程以案例教学为基础，依托先进的数据管理和分析软件，培养学生以数据驱动为基础的商业决策管理和风险控制理念，帮助解决传统商业和金融领域的难题。 本课程强调理论联系实际的培养模式，注重学生学以致用的能力培养。课程在内容安排上努力使学生能够掌握基本的商务智能基础理论和技术，能够针对具体的商业问题，熟练地运用先进的数据管理和分析技术，设计并实施有效的智能解决方案，从而帮助机构提升风险预测和管理能力，促进企业采用以数据为驱动的科学管理理念，完善各种商务流程，增强科学决策能力，从而提高企业的效率和核心竞争力。</w:t>
            </w:r>
          </w:p>
        </w:tc>
      </w:tr>
      <w:tr w14:paraId="1852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710" w:type="dxa"/>
            <w:vAlign w:val="center"/>
          </w:tcPr>
          <w:p w14:paraId="4C1963E2">
            <w:pPr>
              <w:widowControl w:val="0"/>
              <w:jc w:val="center"/>
              <w:rPr>
                <w:rFonts w:ascii="宋体" w:hAnsi="宋体"/>
                <w:szCs w:val="21"/>
              </w:rPr>
            </w:pPr>
            <w:r>
              <w:rPr>
                <w:rFonts w:hint="eastAsia" w:ascii="宋体" w:hAnsi="宋体"/>
                <w:szCs w:val="21"/>
              </w:rPr>
              <w:t>6</w:t>
            </w:r>
          </w:p>
        </w:tc>
        <w:tc>
          <w:tcPr>
            <w:tcW w:w="1134" w:type="dxa"/>
            <w:vAlign w:val="center"/>
          </w:tcPr>
          <w:p w14:paraId="0519BAA2">
            <w:pPr>
              <w:widowControl w:val="0"/>
              <w:jc w:val="center"/>
              <w:rPr>
                <w:szCs w:val="21"/>
              </w:rPr>
            </w:pPr>
            <w:r>
              <w:rPr>
                <w:rFonts w:hint="eastAsia" w:ascii="宋体" w:hAnsi="宋体"/>
                <w:szCs w:val="21"/>
              </w:rPr>
              <w:t>供应链管理</w:t>
            </w:r>
          </w:p>
        </w:tc>
        <w:tc>
          <w:tcPr>
            <w:tcW w:w="708" w:type="dxa"/>
            <w:vAlign w:val="center"/>
          </w:tcPr>
          <w:p w14:paraId="4719910C">
            <w:pPr>
              <w:widowControl w:val="0"/>
              <w:jc w:val="center"/>
              <w:rPr>
                <w:szCs w:val="21"/>
              </w:rPr>
            </w:pPr>
            <w:r>
              <w:rPr>
                <w:rFonts w:hint="eastAsia" w:ascii="宋体" w:hAnsi="宋体"/>
                <w:szCs w:val="21"/>
              </w:rPr>
              <w:t>4</w:t>
            </w:r>
          </w:p>
        </w:tc>
        <w:tc>
          <w:tcPr>
            <w:tcW w:w="709" w:type="dxa"/>
            <w:vAlign w:val="center"/>
          </w:tcPr>
          <w:p w14:paraId="3ADE5C0A">
            <w:pPr>
              <w:widowControl w:val="0"/>
              <w:jc w:val="center"/>
              <w:rPr>
                <w:szCs w:val="21"/>
              </w:rPr>
            </w:pPr>
            <w:r>
              <w:rPr>
                <w:rFonts w:hint="eastAsia" w:ascii="宋体" w:hAnsi="宋体"/>
                <w:szCs w:val="21"/>
              </w:rPr>
              <w:t>72</w:t>
            </w:r>
          </w:p>
        </w:tc>
        <w:tc>
          <w:tcPr>
            <w:tcW w:w="5670" w:type="dxa"/>
            <w:vAlign w:val="center"/>
          </w:tcPr>
          <w:p w14:paraId="7F7DCDEF">
            <w:pPr>
              <w:widowControl w:val="0"/>
              <w:jc w:val="center"/>
              <w:rPr>
                <w:rFonts w:ascii="宋体" w:hAnsi="宋体" w:cs="宋体"/>
                <w:color w:val="000000"/>
                <w:szCs w:val="21"/>
                <w:lang w:bidi="ar"/>
              </w:rPr>
            </w:pPr>
            <w:r>
              <w:rPr>
                <w:rFonts w:hint="eastAsia" w:ascii="宋体" w:hAnsi="宋体" w:eastAsia="宋体" w:cs="宋体"/>
                <w:sz w:val="24"/>
                <w:szCs w:val="24"/>
              </w:rPr>
              <w:t>供应链管理是管理类专业的一门重要的专业基础课程，通过本课程学习，使学生理解供应链管理有关的基本概念、原则、方法的含义，掌握供应链的设计、规划和运营策略；通过实例和案例讨论，使学生对供应链运营策略有清晰的认识和操作能力；通过理论前沿介绍，使学生能够对战略层面的问题有宏观的思考和把握，为学生今后的深造或管理工作打下良好的基础。它本课程以供应链管理的基本理论和基本业务为核心，具有较强的理论性、技术性和实践操作性</w:t>
            </w:r>
          </w:p>
        </w:tc>
      </w:tr>
      <w:tr w14:paraId="154C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710" w:type="dxa"/>
            <w:vAlign w:val="center"/>
          </w:tcPr>
          <w:p w14:paraId="29BAAB99">
            <w:pPr>
              <w:widowControl w:val="0"/>
              <w:jc w:val="center"/>
              <w:rPr>
                <w:rFonts w:ascii="宋体" w:hAnsi="宋体"/>
                <w:szCs w:val="21"/>
              </w:rPr>
            </w:pPr>
            <w:r>
              <w:rPr>
                <w:rFonts w:hint="eastAsia" w:ascii="宋体" w:hAnsi="宋体"/>
                <w:szCs w:val="21"/>
              </w:rPr>
              <w:t>7</w:t>
            </w:r>
          </w:p>
        </w:tc>
        <w:tc>
          <w:tcPr>
            <w:tcW w:w="1134" w:type="dxa"/>
            <w:vAlign w:val="center"/>
          </w:tcPr>
          <w:p w14:paraId="7955E5BE">
            <w:pPr>
              <w:widowControl w:val="0"/>
              <w:tabs>
                <w:tab w:val="left" w:pos="252"/>
              </w:tabs>
              <w:jc w:val="left"/>
              <w:rPr>
                <w:szCs w:val="21"/>
              </w:rPr>
            </w:pPr>
            <w:r>
              <w:rPr>
                <w:rFonts w:hint="eastAsia" w:ascii="宋体" w:hAnsi="宋体"/>
                <w:szCs w:val="21"/>
              </w:rPr>
              <w:t>管理学基础</w:t>
            </w:r>
          </w:p>
        </w:tc>
        <w:tc>
          <w:tcPr>
            <w:tcW w:w="708" w:type="dxa"/>
            <w:vAlign w:val="center"/>
          </w:tcPr>
          <w:p w14:paraId="6F5BB011">
            <w:pPr>
              <w:widowControl w:val="0"/>
              <w:jc w:val="center"/>
              <w:rPr>
                <w:szCs w:val="21"/>
              </w:rPr>
            </w:pPr>
            <w:r>
              <w:rPr>
                <w:rFonts w:hint="eastAsia" w:ascii="宋体" w:hAnsi="宋体"/>
                <w:szCs w:val="21"/>
              </w:rPr>
              <w:t>4</w:t>
            </w:r>
          </w:p>
        </w:tc>
        <w:tc>
          <w:tcPr>
            <w:tcW w:w="709" w:type="dxa"/>
            <w:vAlign w:val="center"/>
          </w:tcPr>
          <w:p w14:paraId="2B7E7ABB">
            <w:pPr>
              <w:widowControl w:val="0"/>
              <w:jc w:val="center"/>
              <w:rPr>
                <w:szCs w:val="21"/>
              </w:rPr>
            </w:pPr>
            <w:r>
              <w:rPr>
                <w:rFonts w:hint="eastAsia" w:ascii="宋体" w:hAnsi="宋体"/>
                <w:szCs w:val="21"/>
              </w:rPr>
              <w:t>72</w:t>
            </w:r>
          </w:p>
        </w:tc>
        <w:tc>
          <w:tcPr>
            <w:tcW w:w="5670" w:type="dxa"/>
            <w:vAlign w:val="center"/>
          </w:tcPr>
          <w:p w14:paraId="2E3729D5">
            <w:pPr>
              <w:widowControl w:val="0"/>
              <w:jc w:val="left"/>
              <w:rPr>
                <w:rFonts w:ascii="宋体" w:hAnsi="宋体" w:cs="宋体"/>
                <w:color w:val="000000"/>
                <w:szCs w:val="21"/>
                <w:lang w:bidi="ar"/>
              </w:rPr>
            </w:pPr>
            <w:r>
              <w:rPr>
                <w:rFonts w:ascii="宋体" w:hAnsi="宋体" w:eastAsia="宋体" w:cs="宋体"/>
                <w:sz w:val="24"/>
                <w:szCs w:val="24"/>
              </w:rPr>
              <w:t>本课程主要</w:t>
            </w:r>
            <w:r>
              <w:rPr>
                <w:rFonts w:hint="eastAsia" w:ascii="宋体" w:hAnsi="宋体" w:eastAsia="宋体" w:cs="宋体"/>
                <w:sz w:val="24"/>
                <w:szCs w:val="24"/>
              </w:rPr>
              <w:t>阐述管理的基本特征及规律，系统掌握管理学的基本原理、基本体系和方法，把握管理职能对于各种组织的重要作用，运用全面的、发展的、系统的观点以及所学管理理论，去观察和分析现实的管理问题，正确把握管理活动内在规律，能具体理解认识管理的基本原理、概念、目的、性质、内容、结构、方法， 同时善于理论联系实际，能够将所学知识运用到实践中去，具备分析问题和解决问题的基本素质。</w:t>
            </w:r>
            <w:r>
              <w:rPr>
                <w:rFonts w:ascii="宋体" w:hAnsi="宋体" w:eastAsia="宋体" w:cs="宋体"/>
                <w:sz w:val="24"/>
                <w:szCs w:val="24"/>
              </w:rPr>
              <w:t>旨在培养中基层管理岗位的综合管理技能与素质。 通过该课程的学习，让学生树立现代管理的思想观念，掌握和运用管理学的 基本原理和方法，提高自身的管理素质，培养和提高学生的理论素质和实践技能， 并通过实践技能训练，提高学生的实践能力、创新能力和职业能力，为学生就业 打下坚实的理论基础和职业基础。</w:t>
            </w:r>
          </w:p>
        </w:tc>
      </w:tr>
      <w:tr w14:paraId="3155C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710" w:type="dxa"/>
            <w:vAlign w:val="center"/>
          </w:tcPr>
          <w:p w14:paraId="367BF6ED">
            <w:pPr>
              <w:widowControl w:val="0"/>
              <w:jc w:val="center"/>
              <w:rPr>
                <w:rFonts w:ascii="宋体" w:hAnsi="宋体"/>
                <w:szCs w:val="21"/>
              </w:rPr>
            </w:pPr>
            <w:r>
              <w:rPr>
                <w:rFonts w:hint="eastAsia" w:ascii="宋体" w:hAnsi="宋体"/>
                <w:szCs w:val="21"/>
              </w:rPr>
              <w:t>8</w:t>
            </w:r>
          </w:p>
        </w:tc>
        <w:tc>
          <w:tcPr>
            <w:tcW w:w="1134" w:type="dxa"/>
            <w:vAlign w:val="center"/>
          </w:tcPr>
          <w:p w14:paraId="4CBCAEF9">
            <w:pPr>
              <w:widowControl w:val="0"/>
              <w:jc w:val="center"/>
              <w:rPr>
                <w:szCs w:val="21"/>
              </w:rPr>
            </w:pPr>
            <w:r>
              <w:rPr>
                <w:rFonts w:hint="eastAsia" w:ascii="宋体" w:hAnsi="宋体"/>
                <w:szCs w:val="21"/>
              </w:rPr>
              <w:t>商务数据分析</w:t>
            </w:r>
          </w:p>
        </w:tc>
        <w:tc>
          <w:tcPr>
            <w:tcW w:w="708" w:type="dxa"/>
            <w:vAlign w:val="center"/>
          </w:tcPr>
          <w:p w14:paraId="7D916E3B">
            <w:pPr>
              <w:widowControl w:val="0"/>
              <w:jc w:val="center"/>
              <w:rPr>
                <w:szCs w:val="21"/>
              </w:rPr>
            </w:pPr>
            <w:r>
              <w:rPr>
                <w:rFonts w:hint="eastAsia" w:ascii="宋体" w:hAnsi="宋体"/>
                <w:szCs w:val="21"/>
              </w:rPr>
              <w:t>4</w:t>
            </w:r>
          </w:p>
        </w:tc>
        <w:tc>
          <w:tcPr>
            <w:tcW w:w="709" w:type="dxa"/>
            <w:vAlign w:val="center"/>
          </w:tcPr>
          <w:p w14:paraId="4F3EBD3A">
            <w:pPr>
              <w:widowControl w:val="0"/>
              <w:jc w:val="center"/>
              <w:rPr>
                <w:szCs w:val="21"/>
              </w:rPr>
            </w:pPr>
            <w:r>
              <w:rPr>
                <w:rFonts w:hint="eastAsia" w:ascii="宋体" w:hAnsi="宋体"/>
                <w:szCs w:val="21"/>
              </w:rPr>
              <w:t>72</w:t>
            </w:r>
          </w:p>
        </w:tc>
        <w:tc>
          <w:tcPr>
            <w:tcW w:w="5670" w:type="dxa"/>
            <w:vAlign w:val="center"/>
          </w:tcPr>
          <w:p w14:paraId="34EE3436">
            <w:pPr>
              <w:widowControl w:val="0"/>
              <w:jc w:val="both"/>
              <w:rPr>
                <w:rFonts w:ascii="宋体" w:hAnsi="宋体" w:cs="宋体"/>
                <w:color w:val="000000"/>
                <w:szCs w:val="21"/>
                <w:lang w:bidi="ar"/>
              </w:rPr>
            </w:pPr>
            <w:r>
              <w:rPr>
                <w:rFonts w:hint="eastAsia" w:ascii="宋体" w:hAnsi="宋体" w:eastAsia="宋体" w:cs="宋体"/>
                <w:sz w:val="24"/>
                <w:szCs w:val="24"/>
              </w:rPr>
              <w:t>本课程以商务领域对数据分析、建模方法的应用为基础，为学生提供从数据收集、整理到分析、建模和应用进行决策的全过程指导。 本课程将从市场研究、企业绩效评价、消费者行为分析、商务预报和投资决策五个方面展开，帮助学生建立将商务数据分析方法解决企业管理和科学研究问题的基本思维框架。包括统计资料的搜集与整理、统计表与统计图、集中趋势的描述、离散程度的描述、分布偏态与峰度的测度、指数体系与因素分析、几种常用的经济指数以及综合评价指数等；最后介绍了推断统计学的基本内容，包括参数估计、假设检验、方差分析、相关与回归分析、时间序列分析等。</w:t>
            </w:r>
          </w:p>
        </w:tc>
      </w:tr>
      <w:tr w14:paraId="253E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710" w:type="dxa"/>
            <w:vAlign w:val="center"/>
          </w:tcPr>
          <w:p w14:paraId="421EFB61">
            <w:pPr>
              <w:widowControl w:val="0"/>
              <w:jc w:val="center"/>
              <w:rPr>
                <w:rFonts w:ascii="宋体" w:hAnsi="宋体"/>
                <w:szCs w:val="21"/>
              </w:rPr>
            </w:pPr>
            <w:r>
              <w:rPr>
                <w:rFonts w:hint="eastAsia" w:ascii="宋体" w:hAnsi="宋体"/>
                <w:szCs w:val="21"/>
              </w:rPr>
              <w:t>9</w:t>
            </w:r>
          </w:p>
        </w:tc>
        <w:tc>
          <w:tcPr>
            <w:tcW w:w="1134" w:type="dxa"/>
            <w:vAlign w:val="center"/>
          </w:tcPr>
          <w:p w14:paraId="399E87F6">
            <w:pPr>
              <w:widowControl w:val="0"/>
              <w:jc w:val="center"/>
              <w:rPr>
                <w:rFonts w:ascii="宋体" w:hAnsi="宋体" w:cs="宋体"/>
                <w:szCs w:val="21"/>
                <w:lang w:bidi="zh-CN"/>
              </w:rPr>
            </w:pPr>
            <w:r>
              <w:rPr>
                <w:rFonts w:hint="eastAsia"/>
                <w:szCs w:val="21"/>
              </w:rPr>
              <w:t>经济法基础</w:t>
            </w:r>
          </w:p>
        </w:tc>
        <w:tc>
          <w:tcPr>
            <w:tcW w:w="708" w:type="dxa"/>
            <w:vAlign w:val="center"/>
          </w:tcPr>
          <w:p w14:paraId="11D2CC66">
            <w:pPr>
              <w:widowControl w:val="0"/>
              <w:jc w:val="center"/>
              <w:rPr>
                <w:rFonts w:ascii="宋体" w:hAnsi="宋体" w:cs="宋体"/>
                <w:szCs w:val="21"/>
                <w:lang w:bidi="zh-CN"/>
              </w:rPr>
            </w:pPr>
            <w:r>
              <w:rPr>
                <w:rFonts w:hint="eastAsia"/>
                <w:szCs w:val="21"/>
              </w:rPr>
              <w:t>4</w:t>
            </w:r>
          </w:p>
        </w:tc>
        <w:tc>
          <w:tcPr>
            <w:tcW w:w="709" w:type="dxa"/>
            <w:vAlign w:val="center"/>
          </w:tcPr>
          <w:p w14:paraId="5EF82B56">
            <w:pPr>
              <w:widowControl w:val="0"/>
              <w:jc w:val="center"/>
              <w:rPr>
                <w:rFonts w:ascii="宋体" w:hAnsi="宋体" w:cs="宋体"/>
                <w:szCs w:val="21"/>
                <w:lang w:bidi="zh-CN"/>
              </w:rPr>
            </w:pPr>
            <w:r>
              <w:rPr>
                <w:rFonts w:hint="eastAsia"/>
                <w:szCs w:val="21"/>
              </w:rPr>
              <w:t>72</w:t>
            </w:r>
          </w:p>
        </w:tc>
        <w:tc>
          <w:tcPr>
            <w:tcW w:w="5670" w:type="dxa"/>
            <w:vAlign w:val="center"/>
          </w:tcPr>
          <w:p w14:paraId="71A36A9D">
            <w:pPr>
              <w:widowControl/>
              <w:jc w:val="left"/>
              <w:textAlignment w:val="center"/>
              <w:rPr>
                <w:rFonts w:ascii="宋体" w:hAnsi="宋体" w:cs="宋体"/>
                <w:color w:val="000000"/>
                <w:szCs w:val="21"/>
                <w:lang w:val="zh-CN" w:bidi="zh-CN"/>
              </w:rPr>
            </w:pPr>
            <w:r>
              <w:rPr>
                <w:rFonts w:hint="eastAsia" w:ascii="宋体" w:hAnsi="宋体" w:cs="宋体"/>
                <w:color w:val="000000"/>
                <w:szCs w:val="21"/>
                <w:lang w:bidi="ar"/>
              </w:rPr>
              <w:t>通过学习获得会计专业人才培养规格中所规定的会计岗位所需的专业能力、方法能力和社会能力，有利于学生专业学习、专业发展和终身发展。通过学习，学生实践、探索、发现、创新，运用科学的方法搜集数据资料。经济法律法规基本知识；公司法律制度；中小企业法律制度；合同法律制度；金融法律制度；会计法律制度；税收法律制度；其他经济法律制度。</w:t>
            </w:r>
          </w:p>
        </w:tc>
      </w:tr>
      <w:tr w14:paraId="5F224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10" w:type="dxa"/>
            <w:vAlign w:val="center"/>
          </w:tcPr>
          <w:p w14:paraId="581A9926">
            <w:pPr>
              <w:widowControl w:val="0"/>
              <w:jc w:val="center"/>
              <w:rPr>
                <w:rFonts w:ascii="宋体" w:hAnsi="宋体"/>
                <w:szCs w:val="21"/>
              </w:rPr>
            </w:pPr>
            <w:r>
              <w:rPr>
                <w:rFonts w:hint="eastAsia" w:ascii="宋体" w:hAnsi="宋体"/>
                <w:szCs w:val="21"/>
              </w:rPr>
              <w:t>10</w:t>
            </w:r>
          </w:p>
        </w:tc>
        <w:tc>
          <w:tcPr>
            <w:tcW w:w="1134" w:type="dxa"/>
            <w:vAlign w:val="center"/>
          </w:tcPr>
          <w:p w14:paraId="0F72375A">
            <w:pPr>
              <w:widowControl w:val="0"/>
              <w:jc w:val="center"/>
              <w:rPr>
                <w:rFonts w:ascii="宋体" w:hAnsi="宋体"/>
                <w:szCs w:val="21"/>
              </w:rPr>
            </w:pPr>
            <w:r>
              <w:rPr>
                <w:rFonts w:hint="eastAsia"/>
                <w:szCs w:val="21"/>
              </w:rPr>
              <w:t>企业财务会计</w:t>
            </w:r>
          </w:p>
        </w:tc>
        <w:tc>
          <w:tcPr>
            <w:tcW w:w="708" w:type="dxa"/>
            <w:vAlign w:val="center"/>
          </w:tcPr>
          <w:p w14:paraId="2BC2246E">
            <w:pPr>
              <w:widowControl w:val="0"/>
              <w:jc w:val="center"/>
              <w:rPr>
                <w:szCs w:val="21"/>
              </w:rPr>
            </w:pPr>
            <w:r>
              <w:rPr>
                <w:rFonts w:hint="eastAsia"/>
                <w:szCs w:val="21"/>
              </w:rPr>
              <w:t>12</w:t>
            </w:r>
          </w:p>
        </w:tc>
        <w:tc>
          <w:tcPr>
            <w:tcW w:w="709" w:type="dxa"/>
            <w:vAlign w:val="center"/>
          </w:tcPr>
          <w:p w14:paraId="51FC544B">
            <w:pPr>
              <w:widowControl w:val="0"/>
              <w:jc w:val="center"/>
              <w:rPr>
                <w:szCs w:val="21"/>
              </w:rPr>
            </w:pPr>
            <w:r>
              <w:rPr>
                <w:rFonts w:hint="eastAsia"/>
                <w:szCs w:val="21"/>
              </w:rPr>
              <w:t>216</w:t>
            </w:r>
          </w:p>
        </w:tc>
        <w:tc>
          <w:tcPr>
            <w:tcW w:w="5670" w:type="dxa"/>
            <w:vAlign w:val="center"/>
          </w:tcPr>
          <w:p w14:paraId="583AB443">
            <w:pPr>
              <w:widowControl/>
              <w:jc w:val="left"/>
              <w:textAlignment w:val="center"/>
              <w:rPr>
                <w:rFonts w:ascii="宋体" w:hAnsi="宋体" w:cs="宋体"/>
                <w:color w:val="000000"/>
                <w:szCs w:val="21"/>
                <w:lang w:bidi="ar"/>
              </w:rPr>
            </w:pPr>
            <w:r>
              <w:rPr>
                <w:rFonts w:hint="eastAsia" w:ascii="宋体" w:hAnsi="宋体" w:cs="宋体"/>
                <w:color w:val="000000"/>
                <w:szCs w:val="21"/>
                <w:lang w:bidi="ar"/>
              </w:rPr>
              <w:t>通过本课程的学习，了解会计法规和企业会计准则的相关规定，能初步具备核算企业主要经济业务的职业能力，达到会计从业人员的相关要求，养成具备诚实守信、严谨细致的工作态度。主要内容包括：资产核算、负债核算、所有者权益核算、收入费用核算、利润核算、主要会计报表编制、财务分析基础等。</w:t>
            </w:r>
          </w:p>
        </w:tc>
      </w:tr>
      <w:tr w14:paraId="48E14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10" w:type="dxa"/>
            <w:vAlign w:val="center"/>
          </w:tcPr>
          <w:p w14:paraId="402C8A69">
            <w:pPr>
              <w:widowControl w:val="0"/>
              <w:jc w:val="center"/>
              <w:rPr>
                <w:rFonts w:ascii="宋体" w:hAnsi="宋体"/>
                <w:szCs w:val="21"/>
              </w:rPr>
            </w:pPr>
            <w:r>
              <w:rPr>
                <w:rFonts w:hint="eastAsia" w:ascii="宋体" w:hAnsi="宋体"/>
                <w:szCs w:val="21"/>
              </w:rPr>
              <w:t>11</w:t>
            </w:r>
          </w:p>
        </w:tc>
        <w:tc>
          <w:tcPr>
            <w:tcW w:w="1134" w:type="dxa"/>
            <w:vAlign w:val="center"/>
          </w:tcPr>
          <w:p w14:paraId="07C6B72A">
            <w:pPr>
              <w:widowControl w:val="0"/>
              <w:jc w:val="center"/>
              <w:rPr>
                <w:rFonts w:ascii="宋体" w:hAnsi="宋体"/>
                <w:szCs w:val="21"/>
              </w:rPr>
            </w:pPr>
            <w:r>
              <w:rPr>
                <w:rFonts w:hint="eastAsia" w:ascii="宋体" w:hAnsi="宋体"/>
                <w:szCs w:val="21"/>
              </w:rPr>
              <w:t>企业手工会计综合实训</w:t>
            </w:r>
          </w:p>
        </w:tc>
        <w:tc>
          <w:tcPr>
            <w:tcW w:w="708" w:type="dxa"/>
            <w:vAlign w:val="center"/>
          </w:tcPr>
          <w:p w14:paraId="6D6D71A4">
            <w:pPr>
              <w:widowControl w:val="0"/>
              <w:jc w:val="center"/>
              <w:rPr>
                <w:rFonts w:ascii="宋体" w:hAnsi="宋体"/>
                <w:szCs w:val="21"/>
              </w:rPr>
            </w:pPr>
            <w:r>
              <w:rPr>
                <w:rFonts w:hint="eastAsia"/>
                <w:szCs w:val="21"/>
              </w:rPr>
              <w:t>6</w:t>
            </w:r>
          </w:p>
        </w:tc>
        <w:tc>
          <w:tcPr>
            <w:tcW w:w="709" w:type="dxa"/>
            <w:vAlign w:val="center"/>
          </w:tcPr>
          <w:p w14:paraId="1AAD80F0">
            <w:pPr>
              <w:widowControl w:val="0"/>
              <w:jc w:val="center"/>
              <w:rPr>
                <w:rFonts w:ascii="宋体" w:hAnsi="宋体"/>
                <w:szCs w:val="21"/>
              </w:rPr>
            </w:pPr>
            <w:r>
              <w:rPr>
                <w:rFonts w:hint="eastAsia"/>
                <w:szCs w:val="21"/>
              </w:rPr>
              <w:t>108</w:t>
            </w:r>
          </w:p>
        </w:tc>
        <w:tc>
          <w:tcPr>
            <w:tcW w:w="5670" w:type="dxa"/>
            <w:vAlign w:val="center"/>
          </w:tcPr>
          <w:p w14:paraId="0D384172">
            <w:pPr>
              <w:widowControl w:val="0"/>
              <w:jc w:val="both"/>
              <w:rPr>
                <w:rFonts w:ascii="宋体" w:hAnsi="宋体" w:cs="宋体"/>
                <w:color w:val="000000"/>
                <w:szCs w:val="21"/>
                <w:lang w:bidi="ar"/>
              </w:rPr>
            </w:pPr>
            <w:r>
              <w:rPr>
                <w:rFonts w:hint="eastAsia" w:ascii="宋体" w:hAnsi="宋体" w:cs="宋体"/>
                <w:color w:val="000000"/>
                <w:szCs w:val="21"/>
                <w:lang w:bidi="ar"/>
              </w:rPr>
              <w:t>与企业实务对接，突出操作技能训练。通过本课程的学习，了解会计法规和企业会计准则的相关规定，能初步具备核算企业主要经济业务的实操能力，达到会计从业人员的相关要求，养成具备诚实守信、严谨细致的工作态度。包括总论、出纳业务处理、资金筹集业务处理、固定资产业务处理、无形资产业务处理、供应过程业务处理、生产过程业务处理、销售过程业务处理、对外投资业务处理、利润形成及分配业务处理、编制财务报表。</w:t>
            </w:r>
          </w:p>
          <w:p w14:paraId="4233661D">
            <w:pPr>
              <w:widowControl w:val="0"/>
              <w:jc w:val="both"/>
              <w:rPr>
                <w:rFonts w:ascii="宋体" w:hAnsi="宋体" w:cs="宋体"/>
                <w:color w:val="000000"/>
                <w:szCs w:val="21"/>
                <w:lang w:bidi="ar"/>
              </w:rPr>
            </w:pPr>
          </w:p>
        </w:tc>
      </w:tr>
      <w:tr w14:paraId="348FF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710" w:type="dxa"/>
            <w:vAlign w:val="center"/>
          </w:tcPr>
          <w:p w14:paraId="06581E91">
            <w:pPr>
              <w:widowControl w:val="0"/>
              <w:jc w:val="center"/>
              <w:rPr>
                <w:rFonts w:ascii="宋体" w:hAnsi="宋体"/>
                <w:szCs w:val="21"/>
              </w:rPr>
            </w:pPr>
            <w:r>
              <w:rPr>
                <w:rFonts w:hint="eastAsia" w:ascii="宋体" w:hAnsi="宋体"/>
                <w:szCs w:val="21"/>
              </w:rPr>
              <w:t>12</w:t>
            </w:r>
          </w:p>
        </w:tc>
        <w:tc>
          <w:tcPr>
            <w:tcW w:w="1134" w:type="dxa"/>
            <w:vAlign w:val="center"/>
          </w:tcPr>
          <w:p w14:paraId="7D9949A8">
            <w:pPr>
              <w:widowControl w:val="0"/>
              <w:jc w:val="center"/>
              <w:rPr>
                <w:rFonts w:ascii="宋体" w:hAnsi="宋体"/>
                <w:szCs w:val="21"/>
              </w:rPr>
            </w:pPr>
            <w:r>
              <w:rPr>
                <w:rFonts w:hint="eastAsia" w:ascii="宋体" w:hAnsi="宋体"/>
                <w:szCs w:val="21"/>
              </w:rPr>
              <w:t>会计电算化</w:t>
            </w:r>
          </w:p>
        </w:tc>
        <w:tc>
          <w:tcPr>
            <w:tcW w:w="708" w:type="dxa"/>
            <w:vAlign w:val="center"/>
          </w:tcPr>
          <w:p w14:paraId="7CABBFF1">
            <w:pPr>
              <w:widowControl w:val="0"/>
              <w:jc w:val="center"/>
              <w:rPr>
                <w:rFonts w:ascii="宋体" w:hAnsi="宋体"/>
                <w:szCs w:val="21"/>
              </w:rPr>
            </w:pPr>
            <w:r>
              <w:rPr>
                <w:rFonts w:hint="eastAsia"/>
                <w:szCs w:val="21"/>
              </w:rPr>
              <w:t>4</w:t>
            </w:r>
          </w:p>
        </w:tc>
        <w:tc>
          <w:tcPr>
            <w:tcW w:w="709" w:type="dxa"/>
            <w:vAlign w:val="center"/>
          </w:tcPr>
          <w:p w14:paraId="63EF81F3">
            <w:pPr>
              <w:widowControl w:val="0"/>
              <w:jc w:val="center"/>
              <w:rPr>
                <w:rFonts w:ascii="宋体" w:hAnsi="宋体"/>
                <w:szCs w:val="21"/>
              </w:rPr>
            </w:pPr>
            <w:r>
              <w:rPr>
                <w:rFonts w:hint="eastAsia"/>
                <w:szCs w:val="21"/>
              </w:rPr>
              <w:t>72</w:t>
            </w:r>
          </w:p>
        </w:tc>
        <w:tc>
          <w:tcPr>
            <w:tcW w:w="5670" w:type="dxa"/>
            <w:vAlign w:val="center"/>
          </w:tcPr>
          <w:p w14:paraId="76593BCA">
            <w:pPr>
              <w:widowControl/>
              <w:jc w:val="left"/>
              <w:textAlignment w:val="center"/>
              <w:rPr>
                <w:rFonts w:ascii="宋体" w:hAnsi="宋体" w:cs="宋体"/>
                <w:color w:val="000000"/>
                <w:szCs w:val="21"/>
                <w:lang w:val="zh-CN" w:bidi="zh-CN"/>
              </w:rPr>
            </w:pPr>
            <w:r>
              <w:rPr>
                <w:rFonts w:hint="eastAsia" w:ascii="宋体" w:hAnsi="宋体" w:cs="宋体"/>
                <w:color w:val="000000"/>
                <w:szCs w:val="21"/>
                <w:lang w:bidi="ar"/>
              </w:rPr>
              <w:t>学习企业会计信息系统分析与设计的基本原理、会计电算化的初始化设置、总账系统、报表系统以及核算子系统的操作方法；能熟练该课程所提供财务软件的运用方法，达到会计人员会计电算化上岗考核要求（初级），教学中注意渗透思想教育，加强学生的诚信和职业道德观念。</w:t>
            </w:r>
          </w:p>
          <w:p w14:paraId="58579F87">
            <w:pPr>
              <w:widowControl/>
              <w:jc w:val="left"/>
              <w:textAlignment w:val="center"/>
              <w:rPr>
                <w:rFonts w:ascii="宋体" w:hAnsi="宋体" w:cs="宋体"/>
                <w:color w:val="000000"/>
                <w:szCs w:val="21"/>
                <w:lang w:val="zh-CN" w:bidi="zh-CN"/>
              </w:rPr>
            </w:pPr>
            <w:r>
              <w:rPr>
                <w:rFonts w:hint="eastAsia" w:ascii="宋体" w:hAnsi="宋体" w:cs="宋体"/>
                <w:color w:val="000000"/>
                <w:szCs w:val="21"/>
                <w:lang w:bidi="ar"/>
              </w:rPr>
              <w:t>主要内容包括：账套管理、基础设置、日常账务处理、期末处理、报表制作、报表数据处理、工资数据处理、固定资产折旧计提、采购及应付款管理、销售及应收管理等。</w:t>
            </w:r>
          </w:p>
        </w:tc>
      </w:tr>
      <w:tr w14:paraId="0CD0F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710" w:type="dxa"/>
            <w:vAlign w:val="center"/>
          </w:tcPr>
          <w:p w14:paraId="11A9991E">
            <w:pPr>
              <w:widowControl w:val="0"/>
              <w:jc w:val="both"/>
              <w:rPr>
                <w:rFonts w:ascii="宋体" w:hAnsi="宋体"/>
                <w:szCs w:val="21"/>
              </w:rPr>
            </w:pPr>
            <w:r>
              <w:rPr>
                <w:rFonts w:hint="eastAsia" w:ascii="宋体" w:hAnsi="宋体"/>
                <w:szCs w:val="21"/>
              </w:rPr>
              <w:t>13</w:t>
            </w:r>
          </w:p>
        </w:tc>
        <w:tc>
          <w:tcPr>
            <w:tcW w:w="1134" w:type="dxa"/>
            <w:vAlign w:val="center"/>
          </w:tcPr>
          <w:p w14:paraId="3263BD56">
            <w:pPr>
              <w:widowControl w:val="0"/>
              <w:jc w:val="center"/>
              <w:rPr>
                <w:rFonts w:ascii="宋体" w:hAnsi="宋体"/>
                <w:szCs w:val="21"/>
              </w:rPr>
            </w:pPr>
            <w:r>
              <w:rPr>
                <w:rFonts w:hint="eastAsia" w:ascii="宋体" w:hAnsi="宋体"/>
                <w:szCs w:val="21"/>
              </w:rPr>
              <w:t>成本会计实务</w:t>
            </w:r>
          </w:p>
        </w:tc>
        <w:tc>
          <w:tcPr>
            <w:tcW w:w="708" w:type="dxa"/>
            <w:vAlign w:val="center"/>
          </w:tcPr>
          <w:p w14:paraId="376350E1">
            <w:pPr>
              <w:widowControl w:val="0"/>
              <w:jc w:val="center"/>
              <w:rPr>
                <w:rFonts w:ascii="宋体" w:hAnsi="宋体"/>
                <w:szCs w:val="21"/>
              </w:rPr>
            </w:pPr>
            <w:r>
              <w:rPr>
                <w:rFonts w:hint="eastAsia"/>
                <w:szCs w:val="21"/>
              </w:rPr>
              <w:t>4</w:t>
            </w:r>
          </w:p>
        </w:tc>
        <w:tc>
          <w:tcPr>
            <w:tcW w:w="709" w:type="dxa"/>
            <w:vAlign w:val="center"/>
          </w:tcPr>
          <w:p w14:paraId="782289E6">
            <w:pPr>
              <w:widowControl w:val="0"/>
              <w:jc w:val="center"/>
              <w:rPr>
                <w:rFonts w:ascii="宋体" w:hAnsi="宋体"/>
                <w:szCs w:val="21"/>
              </w:rPr>
            </w:pPr>
            <w:r>
              <w:rPr>
                <w:rFonts w:hint="eastAsia"/>
                <w:szCs w:val="21"/>
              </w:rPr>
              <w:t>72</w:t>
            </w:r>
          </w:p>
        </w:tc>
        <w:tc>
          <w:tcPr>
            <w:tcW w:w="5670" w:type="dxa"/>
            <w:vAlign w:val="center"/>
          </w:tcPr>
          <w:p w14:paraId="6011254E">
            <w:pPr>
              <w:widowControl/>
              <w:jc w:val="left"/>
              <w:textAlignment w:val="center"/>
              <w:rPr>
                <w:rFonts w:ascii="宋体" w:hAnsi="宋体" w:cs="宋体"/>
                <w:color w:val="000000"/>
                <w:szCs w:val="21"/>
                <w:lang w:val="zh-CN" w:bidi="zh-CN"/>
              </w:rPr>
            </w:pPr>
            <w:r>
              <w:rPr>
                <w:rFonts w:ascii="Segoe UI" w:hAnsi="Segoe UI" w:eastAsia="Segoe UI" w:cs="Segoe UI"/>
                <w:color w:val="333333"/>
                <w:sz w:val="24"/>
                <w:szCs w:val="24"/>
                <w:shd w:val="clear" w:color="auto" w:fill="FFFFFF"/>
              </w:rPr>
              <w:t>本课程主要讲授的是工费用的分类、成本核算的一般程序、要素费用的核算、辅助生产费用的核算、制造费用的核算、废品损失和停工损失的核算、生产费用在完工产品与在产品之间的分配方法、产品成本计算的基本方法和成本报表的编制和分析，通过学习使学生掌握独立核算的工业企业的账务处理程序和方法。</w:t>
            </w:r>
          </w:p>
        </w:tc>
      </w:tr>
      <w:tr w14:paraId="3019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trPr>
        <w:tc>
          <w:tcPr>
            <w:tcW w:w="710" w:type="dxa"/>
            <w:vAlign w:val="center"/>
          </w:tcPr>
          <w:p w14:paraId="47E4C328">
            <w:pPr>
              <w:widowControl w:val="0"/>
              <w:jc w:val="both"/>
              <w:rPr>
                <w:rFonts w:ascii="宋体" w:hAnsi="宋体"/>
                <w:szCs w:val="21"/>
              </w:rPr>
            </w:pPr>
            <w:r>
              <w:rPr>
                <w:rFonts w:hint="eastAsia" w:ascii="宋体" w:hAnsi="宋体"/>
                <w:szCs w:val="21"/>
              </w:rPr>
              <w:t>14</w:t>
            </w:r>
          </w:p>
        </w:tc>
        <w:tc>
          <w:tcPr>
            <w:tcW w:w="1134" w:type="dxa"/>
            <w:vAlign w:val="center"/>
          </w:tcPr>
          <w:p w14:paraId="2E1FBFB5">
            <w:pPr>
              <w:widowControl w:val="0"/>
              <w:jc w:val="center"/>
              <w:rPr>
                <w:rFonts w:ascii="宋体" w:hAnsi="宋体"/>
                <w:szCs w:val="21"/>
              </w:rPr>
            </w:pPr>
            <w:r>
              <w:rPr>
                <w:rFonts w:hint="eastAsia" w:ascii="宋体" w:hAnsi="宋体"/>
                <w:szCs w:val="21"/>
              </w:rPr>
              <w:t>EXCEL在会计中的应用</w:t>
            </w:r>
          </w:p>
        </w:tc>
        <w:tc>
          <w:tcPr>
            <w:tcW w:w="708" w:type="dxa"/>
            <w:vAlign w:val="center"/>
          </w:tcPr>
          <w:p w14:paraId="130A44FE">
            <w:pPr>
              <w:widowControl w:val="0"/>
              <w:jc w:val="center"/>
              <w:rPr>
                <w:rFonts w:ascii="宋体" w:hAnsi="宋体"/>
                <w:szCs w:val="21"/>
              </w:rPr>
            </w:pPr>
            <w:r>
              <w:rPr>
                <w:rFonts w:hint="eastAsia"/>
                <w:szCs w:val="21"/>
              </w:rPr>
              <w:t>4</w:t>
            </w:r>
          </w:p>
        </w:tc>
        <w:tc>
          <w:tcPr>
            <w:tcW w:w="709" w:type="dxa"/>
            <w:vAlign w:val="center"/>
          </w:tcPr>
          <w:p w14:paraId="0C058DA2">
            <w:pPr>
              <w:widowControl w:val="0"/>
              <w:jc w:val="center"/>
              <w:rPr>
                <w:rFonts w:ascii="宋体" w:hAnsi="宋体"/>
                <w:szCs w:val="21"/>
              </w:rPr>
            </w:pPr>
            <w:r>
              <w:rPr>
                <w:rFonts w:hint="eastAsia"/>
                <w:szCs w:val="21"/>
              </w:rPr>
              <w:t>72</w:t>
            </w:r>
          </w:p>
        </w:tc>
        <w:tc>
          <w:tcPr>
            <w:tcW w:w="5670" w:type="dxa"/>
            <w:vAlign w:val="center"/>
          </w:tcPr>
          <w:p w14:paraId="4C172CA9">
            <w:pPr>
              <w:widowControl w:val="0"/>
              <w:jc w:val="left"/>
              <w:rPr>
                <w:rFonts w:ascii="宋体" w:hAnsi="宋体" w:cs="宋体"/>
                <w:szCs w:val="21"/>
                <w:lang w:val="zh-CN" w:bidi="zh-CN"/>
              </w:rPr>
            </w:pPr>
            <w:r>
              <w:rPr>
                <w:rFonts w:hint="eastAsia" w:ascii="宋体" w:hAnsi="宋体"/>
                <w:szCs w:val="21"/>
              </w:rPr>
              <w:t>通过本课程的学习，使学生既深刻体会到财务管理工作的严谨性、规范性，培养爱岗敬业的优秀职业素质，又能够体会到计算机技术为会计工作带来的便捷性，使学生提前进入职业角色，实现学校到工作岗位的有效对接。课程主要内容包括：会计账页和凭证、工资表与工资条、会计账务处理、固定资产管理、应收账款账龄分析、进销存管理。</w:t>
            </w:r>
          </w:p>
        </w:tc>
      </w:tr>
      <w:tr w14:paraId="463B3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10" w:type="dxa"/>
            <w:vAlign w:val="center"/>
          </w:tcPr>
          <w:p w14:paraId="4E220D8F">
            <w:pPr>
              <w:widowControl w:val="0"/>
              <w:jc w:val="both"/>
              <w:rPr>
                <w:rFonts w:ascii="宋体" w:hAnsi="宋体"/>
                <w:szCs w:val="21"/>
              </w:rPr>
            </w:pPr>
            <w:r>
              <w:rPr>
                <w:rFonts w:hint="eastAsia" w:ascii="宋体" w:hAnsi="宋体"/>
                <w:szCs w:val="21"/>
              </w:rPr>
              <w:t>15</w:t>
            </w:r>
          </w:p>
        </w:tc>
        <w:tc>
          <w:tcPr>
            <w:tcW w:w="1134" w:type="dxa"/>
            <w:vAlign w:val="center"/>
          </w:tcPr>
          <w:p w14:paraId="0B6EFA33">
            <w:pPr>
              <w:widowControl w:val="0"/>
              <w:jc w:val="center"/>
              <w:rPr>
                <w:rFonts w:ascii="宋体" w:hAnsi="宋体"/>
                <w:szCs w:val="21"/>
              </w:rPr>
            </w:pPr>
            <w:r>
              <w:rPr>
                <w:rFonts w:hint="eastAsia" w:ascii="宋体" w:hAnsi="宋体"/>
                <w:szCs w:val="21"/>
              </w:rPr>
              <w:t>税收基础</w:t>
            </w:r>
          </w:p>
        </w:tc>
        <w:tc>
          <w:tcPr>
            <w:tcW w:w="708" w:type="dxa"/>
            <w:vAlign w:val="center"/>
          </w:tcPr>
          <w:p w14:paraId="3B812270">
            <w:pPr>
              <w:widowControl w:val="0"/>
              <w:jc w:val="center"/>
              <w:rPr>
                <w:rFonts w:ascii="宋体" w:hAnsi="宋体"/>
                <w:szCs w:val="21"/>
              </w:rPr>
            </w:pPr>
            <w:r>
              <w:rPr>
                <w:rFonts w:hint="eastAsia"/>
                <w:szCs w:val="21"/>
              </w:rPr>
              <w:t>6</w:t>
            </w:r>
          </w:p>
        </w:tc>
        <w:tc>
          <w:tcPr>
            <w:tcW w:w="709" w:type="dxa"/>
            <w:vAlign w:val="center"/>
          </w:tcPr>
          <w:p w14:paraId="6412E718">
            <w:pPr>
              <w:widowControl w:val="0"/>
              <w:jc w:val="center"/>
              <w:rPr>
                <w:rFonts w:ascii="宋体" w:hAnsi="宋体"/>
                <w:szCs w:val="21"/>
              </w:rPr>
            </w:pPr>
            <w:r>
              <w:rPr>
                <w:rFonts w:hint="eastAsia"/>
                <w:szCs w:val="21"/>
              </w:rPr>
              <w:t>108</w:t>
            </w:r>
          </w:p>
        </w:tc>
        <w:tc>
          <w:tcPr>
            <w:tcW w:w="5670" w:type="dxa"/>
            <w:vAlign w:val="center"/>
          </w:tcPr>
          <w:p w14:paraId="44387DB4">
            <w:pPr>
              <w:widowControl/>
              <w:jc w:val="left"/>
              <w:textAlignment w:val="center"/>
              <w:rPr>
                <w:rFonts w:ascii="宋体" w:hAnsi="宋体" w:cs="宋体"/>
                <w:color w:val="000000"/>
                <w:szCs w:val="21"/>
                <w:lang w:val="zh-CN" w:bidi="zh-CN"/>
              </w:rPr>
            </w:pPr>
            <w:r>
              <w:rPr>
                <w:rFonts w:hint="eastAsia" w:ascii="宋体" w:hAnsi="宋体" w:cs="宋体"/>
                <w:color w:val="000000"/>
                <w:szCs w:val="21"/>
                <w:lang w:bidi="ar"/>
              </w:rPr>
              <w:t>通过单元教学活动，使学生掌握税费计算、税务登记、纳税申报、税款缴纳等过程中的实际问题，完成本专业相关岗位的工作任务。主要内容包括：税务登记、账证管理、增值税纳税申报实务、消费税纳税申报实务、营业税纳税申报实务、企业所得税纳税申报实务、个人所得税纳税申报实务、关税纳税申报实务、其他税种纳税申报实等。</w:t>
            </w:r>
          </w:p>
        </w:tc>
      </w:tr>
    </w:tbl>
    <w:p w14:paraId="67D9083E">
      <w:pPr>
        <w:rPr>
          <w:rFonts w:ascii="宋体" w:hAnsi="宋体" w:eastAsia="宋体" w:cs="宋体"/>
          <w:b/>
          <w:bCs/>
          <w:sz w:val="28"/>
          <w:szCs w:val="28"/>
          <w:lang w:val="zh-CN"/>
        </w:rPr>
      </w:pPr>
    </w:p>
    <w:p w14:paraId="0C1E2E62">
      <w:pPr>
        <w:ind w:firstLine="482" w:firstLineChars="200"/>
      </w:pPr>
      <w:bookmarkStart w:id="99" w:name="_Toc169"/>
      <w:bookmarkStart w:id="100" w:name="_Toc31417"/>
      <w:r>
        <w:rPr>
          <w:rFonts w:hint="eastAsia" w:asciiTheme="minorEastAsia" w:hAnsiTheme="minorEastAsia" w:eastAsiaTheme="minorEastAsia"/>
          <w:b/>
          <w:bCs/>
          <w:sz w:val="24"/>
          <w:szCs w:val="24"/>
        </w:rPr>
        <w:t>2.高</w:t>
      </w:r>
      <w:r>
        <w:rPr>
          <w:rFonts w:hint="eastAsia" w:asciiTheme="minorEastAsia" w:hAnsiTheme="minorEastAsia" w:eastAsiaTheme="minorEastAsia"/>
          <w:b/>
          <w:bCs/>
          <w:sz w:val="24"/>
          <w:szCs w:val="24"/>
          <w:lang w:val="zh-CN"/>
        </w:rPr>
        <w:t>职部分</w:t>
      </w:r>
    </w:p>
    <w:tbl>
      <w:tblPr>
        <w:tblStyle w:val="13"/>
        <w:tblW w:w="8931"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7"/>
        <w:gridCol w:w="1187"/>
        <w:gridCol w:w="558"/>
        <w:gridCol w:w="709"/>
        <w:gridCol w:w="5670"/>
      </w:tblGrid>
      <w:tr w14:paraId="173DA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807" w:type="dxa"/>
            <w:noWrap/>
            <w:vAlign w:val="center"/>
          </w:tcPr>
          <w:p w14:paraId="7CE622BD">
            <w:pPr>
              <w:jc w:val="center"/>
              <w:rPr>
                <w:rFonts w:ascii="宋体" w:hAnsi="宋体" w:eastAsia="宋体" w:cs="宋体"/>
                <w:b/>
                <w:bCs/>
                <w:sz w:val="18"/>
                <w:szCs w:val="18"/>
              </w:rPr>
            </w:pPr>
            <w:r>
              <w:rPr>
                <w:rFonts w:hint="eastAsia" w:ascii="宋体" w:hAnsi="宋体" w:eastAsia="宋体" w:cs="宋体"/>
                <w:b/>
                <w:bCs/>
                <w:sz w:val="18"/>
                <w:szCs w:val="18"/>
              </w:rPr>
              <w:t xml:space="preserve"> 编码</w:t>
            </w:r>
          </w:p>
        </w:tc>
        <w:tc>
          <w:tcPr>
            <w:tcW w:w="1187" w:type="dxa"/>
            <w:noWrap/>
            <w:vAlign w:val="center"/>
          </w:tcPr>
          <w:p w14:paraId="23CFB542">
            <w:pPr>
              <w:jc w:val="center"/>
              <w:rPr>
                <w:rFonts w:ascii="宋体" w:hAnsi="宋体" w:eastAsia="宋体" w:cs="宋体"/>
                <w:b/>
                <w:bCs/>
                <w:sz w:val="18"/>
                <w:szCs w:val="18"/>
              </w:rPr>
            </w:pPr>
            <w:r>
              <w:rPr>
                <w:rFonts w:hint="eastAsia" w:ascii="宋体" w:hAnsi="宋体" w:eastAsia="宋体" w:cs="宋体"/>
                <w:b/>
                <w:bCs/>
                <w:sz w:val="18"/>
                <w:szCs w:val="18"/>
              </w:rPr>
              <w:t>课程名称</w:t>
            </w:r>
          </w:p>
        </w:tc>
        <w:tc>
          <w:tcPr>
            <w:tcW w:w="558" w:type="dxa"/>
            <w:noWrap/>
            <w:vAlign w:val="center"/>
          </w:tcPr>
          <w:p w14:paraId="72695D8B">
            <w:pPr>
              <w:jc w:val="center"/>
              <w:rPr>
                <w:rFonts w:ascii="宋体" w:hAnsi="宋体" w:eastAsia="宋体" w:cs="宋体"/>
                <w:b/>
                <w:bCs/>
                <w:sz w:val="18"/>
                <w:szCs w:val="18"/>
              </w:rPr>
            </w:pPr>
            <w:r>
              <w:rPr>
                <w:rFonts w:hint="eastAsia" w:ascii="宋体" w:hAnsi="宋体" w:eastAsia="宋体" w:cs="宋体"/>
                <w:b/>
                <w:bCs/>
                <w:sz w:val="18"/>
                <w:szCs w:val="18"/>
              </w:rPr>
              <w:t>学分</w:t>
            </w:r>
          </w:p>
        </w:tc>
        <w:tc>
          <w:tcPr>
            <w:tcW w:w="709" w:type="dxa"/>
            <w:noWrap/>
            <w:vAlign w:val="center"/>
          </w:tcPr>
          <w:p w14:paraId="4F36A305">
            <w:pPr>
              <w:jc w:val="center"/>
              <w:rPr>
                <w:rFonts w:ascii="宋体" w:hAnsi="宋体" w:eastAsia="宋体" w:cs="宋体"/>
                <w:b/>
                <w:bCs/>
                <w:sz w:val="18"/>
                <w:szCs w:val="18"/>
              </w:rPr>
            </w:pPr>
            <w:r>
              <w:rPr>
                <w:rFonts w:hint="eastAsia" w:ascii="宋体" w:hAnsi="宋体" w:eastAsia="宋体" w:cs="宋体"/>
                <w:b/>
                <w:bCs/>
                <w:sz w:val="18"/>
                <w:szCs w:val="18"/>
              </w:rPr>
              <w:t>学时</w:t>
            </w:r>
          </w:p>
        </w:tc>
        <w:tc>
          <w:tcPr>
            <w:tcW w:w="5670" w:type="dxa"/>
            <w:noWrap/>
            <w:vAlign w:val="center"/>
          </w:tcPr>
          <w:p w14:paraId="7E18C4AA">
            <w:pPr>
              <w:jc w:val="center"/>
              <w:rPr>
                <w:rFonts w:ascii="宋体" w:hAnsi="宋体" w:eastAsia="宋体" w:cs="宋体"/>
                <w:b/>
                <w:bCs/>
                <w:sz w:val="18"/>
                <w:szCs w:val="18"/>
              </w:rPr>
            </w:pPr>
            <w:r>
              <w:rPr>
                <w:rFonts w:hint="eastAsia" w:ascii="宋体" w:hAnsi="宋体" w:eastAsia="宋体" w:cs="宋体"/>
                <w:b/>
                <w:bCs/>
                <w:sz w:val="18"/>
                <w:szCs w:val="18"/>
              </w:rPr>
              <w:t>主要教学内容与要求</w:t>
            </w:r>
          </w:p>
        </w:tc>
      </w:tr>
      <w:tr w14:paraId="2BA6D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807" w:type="dxa"/>
            <w:vAlign w:val="center"/>
          </w:tcPr>
          <w:p w14:paraId="32B23A6D">
            <w:pPr>
              <w:jc w:val="center"/>
              <w:rPr>
                <w:rFonts w:ascii="宋体" w:hAnsi="宋体" w:eastAsia="宋体" w:cs="宋体"/>
                <w:sz w:val="18"/>
                <w:szCs w:val="18"/>
              </w:rPr>
            </w:pPr>
            <w:r>
              <w:rPr>
                <w:rFonts w:hint="eastAsia" w:ascii="宋体" w:hAnsi="宋体" w:eastAsia="宋体" w:cs="宋体"/>
                <w:sz w:val="18"/>
                <w:szCs w:val="18"/>
              </w:rPr>
              <w:t>1</w:t>
            </w:r>
          </w:p>
        </w:tc>
        <w:tc>
          <w:tcPr>
            <w:tcW w:w="1187" w:type="dxa"/>
            <w:vAlign w:val="center"/>
          </w:tcPr>
          <w:p w14:paraId="7A782E2D">
            <w:pPr>
              <w:jc w:val="center"/>
              <w:rPr>
                <w:rFonts w:ascii="宋体" w:hAnsi="宋体" w:eastAsia="宋体" w:cs="宋体"/>
                <w:sz w:val="18"/>
                <w:szCs w:val="18"/>
              </w:rPr>
            </w:pPr>
            <w:r>
              <w:rPr>
                <w:rFonts w:hint="eastAsia" w:ascii="宋体" w:hAnsi="宋体" w:eastAsia="宋体" w:cs="宋体"/>
                <w:sz w:val="18"/>
                <w:szCs w:val="18"/>
              </w:rPr>
              <w:t>微观经济学</w:t>
            </w:r>
          </w:p>
        </w:tc>
        <w:tc>
          <w:tcPr>
            <w:tcW w:w="558" w:type="dxa"/>
            <w:vAlign w:val="center"/>
          </w:tcPr>
          <w:p w14:paraId="6F907898">
            <w:pPr>
              <w:jc w:val="center"/>
              <w:rPr>
                <w:rFonts w:ascii="宋体" w:hAnsi="宋体" w:eastAsia="宋体" w:cs="宋体"/>
                <w:sz w:val="18"/>
                <w:szCs w:val="18"/>
              </w:rPr>
            </w:pPr>
            <w:r>
              <w:rPr>
                <w:rFonts w:hint="eastAsia" w:ascii="宋体" w:hAnsi="宋体" w:eastAsia="宋体" w:cs="宋体"/>
                <w:sz w:val="18"/>
                <w:szCs w:val="18"/>
              </w:rPr>
              <w:t>4</w:t>
            </w:r>
          </w:p>
        </w:tc>
        <w:tc>
          <w:tcPr>
            <w:tcW w:w="709" w:type="dxa"/>
            <w:vAlign w:val="center"/>
          </w:tcPr>
          <w:p w14:paraId="146F4FFD">
            <w:pPr>
              <w:jc w:val="center"/>
              <w:rPr>
                <w:rFonts w:ascii="宋体" w:hAnsi="宋体" w:eastAsia="宋体" w:cs="宋体"/>
                <w:sz w:val="18"/>
                <w:szCs w:val="18"/>
              </w:rPr>
            </w:pPr>
            <w:r>
              <w:rPr>
                <w:rFonts w:hint="eastAsia" w:ascii="宋体" w:hAnsi="宋体" w:eastAsia="宋体" w:cs="宋体"/>
                <w:sz w:val="18"/>
                <w:szCs w:val="18"/>
              </w:rPr>
              <w:t>72</w:t>
            </w:r>
          </w:p>
        </w:tc>
        <w:tc>
          <w:tcPr>
            <w:tcW w:w="5670" w:type="dxa"/>
            <w:vAlign w:val="center"/>
          </w:tcPr>
          <w:p w14:paraId="0D5C5EA0">
            <w:pPr>
              <w:rPr>
                <w:rFonts w:ascii="宋体" w:hAnsi="宋体" w:eastAsia="宋体" w:cs="宋体"/>
                <w:sz w:val="18"/>
                <w:szCs w:val="18"/>
              </w:rPr>
            </w:pPr>
            <w:r>
              <w:rPr>
                <w:rFonts w:hint="eastAsia" w:ascii="宋体" w:hAnsi="宋体" w:eastAsia="宋体" w:cs="宋体"/>
                <w:sz w:val="18"/>
                <w:szCs w:val="18"/>
              </w:rPr>
              <w:t>本课程是经济学与管理学专业大学本科的必修基础课程，作为一门入门课程，主要强调经济学原理的应用和政策分析，内容主要通过比较生动的案例，说明经济学原理如何应用于现实经济问题的分析，以使学生懂得什么是生活中的经济学。该课程的微观部分包括七章，包括第一章绪论，第二章消费者理论，第三章生产者理论，第四章市场理论，第五篇一般均衡分析，第六章市场失灵。同时讲解宏观经济的数据、长期中的真实经济、长期中的货币与物价、开放经济的宏观经济学等宏观经济学内容。</w:t>
            </w:r>
          </w:p>
        </w:tc>
      </w:tr>
      <w:tr w14:paraId="3173A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807" w:type="dxa"/>
            <w:vAlign w:val="center"/>
          </w:tcPr>
          <w:p w14:paraId="3BC858D5">
            <w:pPr>
              <w:jc w:val="center"/>
              <w:rPr>
                <w:rFonts w:ascii="宋体" w:hAnsi="宋体" w:eastAsia="宋体" w:cs="宋体"/>
                <w:sz w:val="18"/>
                <w:szCs w:val="18"/>
              </w:rPr>
            </w:pPr>
            <w:r>
              <w:rPr>
                <w:rFonts w:hint="eastAsia" w:ascii="宋体" w:hAnsi="宋体" w:eastAsia="宋体" w:cs="宋体"/>
                <w:sz w:val="18"/>
                <w:szCs w:val="18"/>
              </w:rPr>
              <w:t>2</w:t>
            </w:r>
          </w:p>
        </w:tc>
        <w:tc>
          <w:tcPr>
            <w:tcW w:w="1187" w:type="dxa"/>
            <w:vAlign w:val="center"/>
          </w:tcPr>
          <w:p w14:paraId="1004AC10">
            <w:pPr>
              <w:widowControl w:val="0"/>
              <w:jc w:val="center"/>
              <w:rPr>
                <w:rFonts w:ascii="宋体" w:hAnsi="宋体" w:eastAsia="宋体" w:cs="宋体"/>
                <w:sz w:val="18"/>
                <w:szCs w:val="18"/>
              </w:rPr>
            </w:pPr>
            <w:r>
              <w:rPr>
                <w:rFonts w:hint="eastAsia" w:ascii="宋体" w:hAnsi="宋体" w:eastAsia="宋体" w:cs="宋体"/>
                <w:sz w:val="18"/>
                <w:szCs w:val="18"/>
              </w:rPr>
              <w:t>统计基础</w:t>
            </w:r>
          </w:p>
        </w:tc>
        <w:tc>
          <w:tcPr>
            <w:tcW w:w="558" w:type="dxa"/>
            <w:vAlign w:val="center"/>
          </w:tcPr>
          <w:p w14:paraId="1E499CA2">
            <w:pPr>
              <w:widowControl w:val="0"/>
              <w:jc w:val="center"/>
              <w:rPr>
                <w:rFonts w:ascii="宋体" w:hAnsi="宋体" w:eastAsia="宋体" w:cs="宋体"/>
                <w:sz w:val="18"/>
                <w:szCs w:val="18"/>
              </w:rPr>
            </w:pPr>
            <w:r>
              <w:rPr>
                <w:rFonts w:hint="eastAsia" w:ascii="宋体" w:hAnsi="宋体" w:eastAsia="宋体" w:cs="宋体"/>
                <w:sz w:val="18"/>
                <w:szCs w:val="18"/>
              </w:rPr>
              <w:t>4</w:t>
            </w:r>
          </w:p>
        </w:tc>
        <w:tc>
          <w:tcPr>
            <w:tcW w:w="709" w:type="dxa"/>
            <w:vAlign w:val="center"/>
          </w:tcPr>
          <w:p w14:paraId="090ABCE2">
            <w:pPr>
              <w:widowControl w:val="0"/>
              <w:jc w:val="center"/>
              <w:rPr>
                <w:rFonts w:ascii="宋体" w:hAnsi="宋体" w:eastAsia="宋体" w:cs="宋体"/>
                <w:sz w:val="18"/>
                <w:szCs w:val="18"/>
              </w:rPr>
            </w:pPr>
            <w:r>
              <w:rPr>
                <w:rFonts w:hint="eastAsia" w:ascii="宋体" w:hAnsi="宋体" w:eastAsia="宋体" w:cs="宋体"/>
                <w:sz w:val="18"/>
                <w:szCs w:val="18"/>
              </w:rPr>
              <w:t>72</w:t>
            </w:r>
          </w:p>
        </w:tc>
        <w:tc>
          <w:tcPr>
            <w:tcW w:w="5670" w:type="dxa"/>
            <w:vAlign w:val="center"/>
          </w:tcPr>
          <w:p w14:paraId="7BFCEF42">
            <w:pPr>
              <w:textAlignment w:val="center"/>
              <w:rPr>
                <w:rFonts w:ascii="宋体" w:hAnsi="宋体" w:eastAsia="宋体" w:cs="宋体"/>
                <w:sz w:val="18"/>
                <w:szCs w:val="18"/>
              </w:rPr>
            </w:pPr>
            <w:r>
              <w:rPr>
                <w:rFonts w:hint="eastAsia" w:ascii="宋体" w:hAnsi="宋体" w:eastAsia="宋体" w:cs="宋体"/>
                <w:color w:val="333333"/>
                <w:sz w:val="18"/>
                <w:szCs w:val="18"/>
                <w:shd w:val="clear" w:color="auto" w:fill="FFFFFF"/>
              </w:rPr>
              <w:t>通过本课程学习，使学生了解统计一般原理，掌握统计调查及统计资料的整理方法，掌握统计指标分析、指数分析、抽样分析方法具体运用，提高学生的综合分析能力。</w:t>
            </w:r>
            <w:r>
              <w:rPr>
                <w:rFonts w:hint="eastAsia" w:ascii="宋体" w:hAnsi="宋体" w:eastAsia="宋体" w:cs="宋体"/>
                <w:color w:val="000000"/>
                <w:sz w:val="18"/>
                <w:szCs w:val="18"/>
                <w:lang w:bidi="ar"/>
              </w:rPr>
              <w:t>主要包括：统计的含义特点、研究对象、统计学的基本概念统计分析等。</w:t>
            </w:r>
          </w:p>
        </w:tc>
      </w:tr>
      <w:tr w14:paraId="4F4E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807" w:type="dxa"/>
            <w:vAlign w:val="center"/>
          </w:tcPr>
          <w:p w14:paraId="3D4A686C">
            <w:pPr>
              <w:jc w:val="center"/>
              <w:rPr>
                <w:rFonts w:ascii="宋体" w:hAnsi="宋体" w:eastAsia="宋体" w:cs="宋体"/>
                <w:sz w:val="18"/>
                <w:szCs w:val="18"/>
              </w:rPr>
            </w:pPr>
            <w:r>
              <w:rPr>
                <w:rFonts w:hint="eastAsia" w:ascii="宋体" w:hAnsi="宋体" w:eastAsia="宋体" w:cs="宋体"/>
                <w:sz w:val="18"/>
                <w:szCs w:val="18"/>
              </w:rPr>
              <w:t>3</w:t>
            </w:r>
          </w:p>
        </w:tc>
        <w:tc>
          <w:tcPr>
            <w:tcW w:w="1187" w:type="dxa"/>
            <w:vAlign w:val="center"/>
          </w:tcPr>
          <w:p w14:paraId="6A94DF15">
            <w:pPr>
              <w:jc w:val="center"/>
              <w:rPr>
                <w:rFonts w:ascii="宋体" w:hAnsi="宋体" w:eastAsia="宋体" w:cs="宋体"/>
                <w:sz w:val="18"/>
                <w:szCs w:val="18"/>
              </w:rPr>
            </w:pPr>
            <w:r>
              <w:rPr>
                <w:rFonts w:hint="eastAsia" w:ascii="宋体" w:hAnsi="宋体" w:eastAsia="宋体" w:cs="宋体"/>
                <w:sz w:val="18"/>
                <w:szCs w:val="18"/>
              </w:rPr>
              <w:t>财务大数据基础</w:t>
            </w:r>
          </w:p>
        </w:tc>
        <w:tc>
          <w:tcPr>
            <w:tcW w:w="558" w:type="dxa"/>
            <w:vAlign w:val="center"/>
          </w:tcPr>
          <w:p w14:paraId="6C3F1F63">
            <w:pPr>
              <w:jc w:val="center"/>
              <w:rPr>
                <w:rFonts w:ascii="宋体" w:hAnsi="宋体" w:eastAsia="宋体" w:cs="宋体"/>
                <w:sz w:val="18"/>
                <w:szCs w:val="18"/>
              </w:rPr>
            </w:pPr>
            <w:r>
              <w:rPr>
                <w:rFonts w:hint="eastAsia" w:ascii="宋体" w:hAnsi="宋体" w:eastAsia="宋体" w:cs="宋体"/>
                <w:sz w:val="18"/>
                <w:szCs w:val="18"/>
              </w:rPr>
              <w:t>4</w:t>
            </w:r>
          </w:p>
        </w:tc>
        <w:tc>
          <w:tcPr>
            <w:tcW w:w="709" w:type="dxa"/>
            <w:vAlign w:val="center"/>
          </w:tcPr>
          <w:p w14:paraId="4CA41558">
            <w:pPr>
              <w:jc w:val="center"/>
              <w:rPr>
                <w:rFonts w:ascii="宋体" w:hAnsi="宋体" w:eastAsia="宋体" w:cs="宋体"/>
                <w:sz w:val="18"/>
                <w:szCs w:val="18"/>
              </w:rPr>
            </w:pPr>
            <w:r>
              <w:rPr>
                <w:rFonts w:hint="eastAsia" w:ascii="宋体" w:hAnsi="宋体" w:eastAsia="宋体" w:cs="宋体"/>
                <w:sz w:val="18"/>
                <w:szCs w:val="18"/>
              </w:rPr>
              <w:t>72</w:t>
            </w:r>
          </w:p>
        </w:tc>
        <w:tc>
          <w:tcPr>
            <w:tcW w:w="5670" w:type="dxa"/>
            <w:vAlign w:val="center"/>
          </w:tcPr>
          <w:p w14:paraId="4DD3BEE3">
            <w:pPr>
              <w:pStyle w:val="12"/>
              <w:rPr>
                <w:rFonts w:hint="default" w:eastAsia="宋体" w:cs="宋体"/>
                <w:color w:val="000000"/>
                <w:sz w:val="18"/>
                <w:szCs w:val="18"/>
                <w:lang w:bidi="ar"/>
              </w:rPr>
            </w:pPr>
            <w:r>
              <w:rPr>
                <w:rFonts w:eastAsia="宋体" w:cs="宋体"/>
                <w:color w:val="000000"/>
                <w:sz w:val="18"/>
                <w:szCs w:val="18"/>
                <w:lang w:bidi="ar"/>
              </w:rPr>
              <w:t>通过本课程的学习，了解大数据概念、具备大数据思维，培养学生的数据意识、数据思维、数据安全和数据分析能力。大数据基础理论，了解大数据常见技术；熟练掌握数据库的安装与配置，能够使用SQL语言完成基本操作，理解数据埋点设计等数据采集的基本方法，理解掌握大数据处理与分析的基本方法，了解大数据在财务中的应用</w:t>
            </w:r>
          </w:p>
        </w:tc>
      </w:tr>
      <w:tr w14:paraId="30F1D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0" w:hRule="atLeast"/>
        </w:trPr>
        <w:tc>
          <w:tcPr>
            <w:tcW w:w="807" w:type="dxa"/>
            <w:vAlign w:val="center"/>
          </w:tcPr>
          <w:p w14:paraId="2348571A">
            <w:pPr>
              <w:jc w:val="center"/>
              <w:rPr>
                <w:rFonts w:ascii="宋体" w:hAnsi="宋体" w:eastAsia="宋体" w:cs="宋体"/>
                <w:sz w:val="18"/>
                <w:szCs w:val="18"/>
              </w:rPr>
            </w:pPr>
            <w:r>
              <w:rPr>
                <w:rFonts w:hint="eastAsia" w:ascii="宋体" w:hAnsi="宋体" w:eastAsia="宋体" w:cs="宋体"/>
                <w:sz w:val="18"/>
                <w:szCs w:val="18"/>
              </w:rPr>
              <w:t>4</w:t>
            </w:r>
          </w:p>
        </w:tc>
        <w:tc>
          <w:tcPr>
            <w:tcW w:w="1187" w:type="dxa"/>
            <w:vAlign w:val="center"/>
          </w:tcPr>
          <w:p w14:paraId="29423FFC">
            <w:pPr>
              <w:jc w:val="center"/>
              <w:rPr>
                <w:rFonts w:ascii="宋体" w:hAnsi="宋体" w:eastAsia="宋体" w:cs="宋体"/>
                <w:sz w:val="18"/>
                <w:szCs w:val="18"/>
              </w:rPr>
            </w:pPr>
            <w:r>
              <w:rPr>
                <w:rFonts w:hint="eastAsia" w:ascii="宋体" w:hAnsi="宋体" w:eastAsia="宋体" w:cs="宋体"/>
                <w:sz w:val="18"/>
                <w:szCs w:val="18"/>
              </w:rPr>
              <w:t>初级财务会计</w:t>
            </w:r>
          </w:p>
        </w:tc>
        <w:tc>
          <w:tcPr>
            <w:tcW w:w="558" w:type="dxa"/>
            <w:vAlign w:val="center"/>
          </w:tcPr>
          <w:p w14:paraId="6D9D8195">
            <w:pPr>
              <w:jc w:val="center"/>
              <w:rPr>
                <w:rFonts w:ascii="宋体" w:hAnsi="宋体" w:eastAsia="宋体" w:cs="宋体"/>
                <w:sz w:val="18"/>
                <w:szCs w:val="18"/>
              </w:rPr>
            </w:pPr>
            <w:r>
              <w:rPr>
                <w:rFonts w:hint="eastAsia" w:ascii="宋体" w:hAnsi="宋体" w:eastAsia="宋体" w:cs="宋体"/>
                <w:sz w:val="18"/>
                <w:szCs w:val="18"/>
              </w:rPr>
              <w:t>8</w:t>
            </w:r>
          </w:p>
        </w:tc>
        <w:tc>
          <w:tcPr>
            <w:tcW w:w="709" w:type="dxa"/>
            <w:vAlign w:val="center"/>
          </w:tcPr>
          <w:p w14:paraId="4E812591">
            <w:pPr>
              <w:jc w:val="center"/>
              <w:rPr>
                <w:rFonts w:ascii="宋体" w:hAnsi="宋体" w:eastAsia="宋体" w:cs="宋体"/>
                <w:sz w:val="18"/>
                <w:szCs w:val="18"/>
              </w:rPr>
            </w:pPr>
            <w:r>
              <w:rPr>
                <w:rFonts w:hint="eastAsia" w:ascii="宋体" w:hAnsi="宋体" w:eastAsia="宋体" w:cs="宋体"/>
                <w:sz w:val="18"/>
                <w:szCs w:val="18"/>
              </w:rPr>
              <w:t>144</w:t>
            </w:r>
          </w:p>
        </w:tc>
        <w:tc>
          <w:tcPr>
            <w:tcW w:w="5670" w:type="dxa"/>
            <w:vAlign w:val="center"/>
          </w:tcPr>
          <w:p w14:paraId="4B8B1001">
            <w:pPr>
              <w:pStyle w:val="12"/>
              <w:rPr>
                <w:rFonts w:hint="default" w:eastAsia="宋体" w:cs="宋体"/>
                <w:color w:val="000000"/>
                <w:sz w:val="18"/>
                <w:szCs w:val="18"/>
                <w:lang w:bidi="ar"/>
              </w:rPr>
            </w:pPr>
            <w:r>
              <w:rPr>
                <w:rFonts w:eastAsia="宋体" w:cs="宋体"/>
                <w:color w:val="000000"/>
                <w:sz w:val="18"/>
                <w:szCs w:val="18"/>
                <w:lang w:bidi="ar"/>
              </w:rPr>
              <w:t>本课程通过学习使学生掌握资产、负债、所有者权益、收入、费用、利润、投资性房地产、金融资产、长期股权投资、借款费用、债务重组、所得税会计、非货币性交易、资产负债表日后事项等相关内容，能灵活处理各项经济业务，要求学生掌握资产负债表、利润表及现金流量表的具体编制方法。</w:t>
            </w:r>
          </w:p>
        </w:tc>
      </w:tr>
      <w:tr w14:paraId="53E4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807" w:type="dxa"/>
            <w:vAlign w:val="center"/>
          </w:tcPr>
          <w:p w14:paraId="490C3E35">
            <w:pPr>
              <w:jc w:val="center"/>
              <w:rPr>
                <w:rFonts w:ascii="宋体" w:hAnsi="宋体" w:eastAsia="宋体" w:cs="宋体"/>
                <w:sz w:val="18"/>
                <w:szCs w:val="18"/>
              </w:rPr>
            </w:pPr>
            <w:r>
              <w:rPr>
                <w:rFonts w:hint="eastAsia" w:ascii="宋体" w:hAnsi="宋体" w:eastAsia="宋体" w:cs="宋体"/>
                <w:sz w:val="18"/>
                <w:szCs w:val="18"/>
              </w:rPr>
              <w:t>5</w:t>
            </w:r>
          </w:p>
        </w:tc>
        <w:tc>
          <w:tcPr>
            <w:tcW w:w="1187" w:type="dxa"/>
            <w:vAlign w:val="center"/>
          </w:tcPr>
          <w:p w14:paraId="75BB5390">
            <w:pPr>
              <w:jc w:val="center"/>
              <w:rPr>
                <w:rFonts w:ascii="宋体" w:hAnsi="宋体" w:eastAsia="宋体" w:cs="宋体"/>
                <w:sz w:val="18"/>
                <w:szCs w:val="18"/>
              </w:rPr>
            </w:pPr>
            <w:r>
              <w:rPr>
                <w:rFonts w:hint="eastAsia" w:ascii="宋体" w:hAnsi="宋体" w:eastAsia="宋体" w:cs="宋体"/>
                <w:sz w:val="18"/>
                <w:szCs w:val="18"/>
              </w:rPr>
              <w:t>财务管理</w:t>
            </w:r>
          </w:p>
        </w:tc>
        <w:tc>
          <w:tcPr>
            <w:tcW w:w="558" w:type="dxa"/>
            <w:vAlign w:val="center"/>
          </w:tcPr>
          <w:p w14:paraId="2E81B320">
            <w:pPr>
              <w:jc w:val="center"/>
              <w:rPr>
                <w:rFonts w:ascii="宋体" w:hAnsi="宋体" w:eastAsia="宋体" w:cs="宋体"/>
                <w:sz w:val="18"/>
                <w:szCs w:val="18"/>
              </w:rPr>
            </w:pPr>
            <w:r>
              <w:rPr>
                <w:rFonts w:hint="eastAsia" w:ascii="宋体" w:hAnsi="宋体" w:eastAsia="宋体" w:cs="宋体"/>
                <w:sz w:val="18"/>
                <w:szCs w:val="18"/>
              </w:rPr>
              <w:t>4</w:t>
            </w:r>
          </w:p>
        </w:tc>
        <w:tc>
          <w:tcPr>
            <w:tcW w:w="709" w:type="dxa"/>
            <w:vAlign w:val="center"/>
          </w:tcPr>
          <w:p w14:paraId="40C1972F">
            <w:pPr>
              <w:jc w:val="center"/>
              <w:rPr>
                <w:rFonts w:ascii="宋体" w:hAnsi="宋体" w:eastAsia="宋体" w:cs="宋体"/>
                <w:sz w:val="18"/>
                <w:szCs w:val="18"/>
              </w:rPr>
            </w:pPr>
            <w:r>
              <w:rPr>
                <w:rFonts w:hint="eastAsia" w:ascii="宋体" w:hAnsi="宋体" w:eastAsia="宋体" w:cs="宋体"/>
                <w:sz w:val="18"/>
                <w:szCs w:val="18"/>
              </w:rPr>
              <w:t>72</w:t>
            </w:r>
          </w:p>
        </w:tc>
        <w:tc>
          <w:tcPr>
            <w:tcW w:w="5670" w:type="dxa"/>
            <w:vAlign w:val="center"/>
          </w:tcPr>
          <w:p w14:paraId="5DD1C7A1">
            <w:pPr>
              <w:pStyle w:val="12"/>
              <w:rPr>
                <w:rFonts w:hint="default" w:eastAsia="宋体" w:cs="宋体"/>
                <w:color w:val="000000"/>
                <w:sz w:val="18"/>
                <w:szCs w:val="18"/>
                <w:lang w:bidi="ar"/>
              </w:rPr>
            </w:pPr>
            <w:r>
              <w:rPr>
                <w:rFonts w:eastAsia="宋体" w:cs="宋体"/>
                <w:color w:val="000000"/>
                <w:sz w:val="18"/>
                <w:szCs w:val="18"/>
                <w:lang w:bidi="ar"/>
              </w:rPr>
              <w:t>通过本课程的教学，使学生能较为系统地理解财务管理的基本理论，评价企业的投资、融资和收益分配决策对企业价值最大化目标的实现程度，掌握将分析技术引入相关财务决策的方法，从而提高学生分析问题、解决问题的能力、为企业管理资金出谋划策的能力。本课程由资金筹集方式等5项专项实践组成，课程教学方式以讲授、案例教学和实训相结合</w:t>
            </w:r>
          </w:p>
        </w:tc>
      </w:tr>
      <w:tr w14:paraId="6F6B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807" w:type="dxa"/>
            <w:vAlign w:val="center"/>
          </w:tcPr>
          <w:p w14:paraId="7A1E9856">
            <w:pPr>
              <w:jc w:val="center"/>
              <w:rPr>
                <w:rFonts w:ascii="宋体" w:hAnsi="宋体" w:eastAsia="宋体" w:cs="宋体"/>
                <w:sz w:val="18"/>
                <w:szCs w:val="18"/>
              </w:rPr>
            </w:pPr>
            <w:r>
              <w:rPr>
                <w:rFonts w:hint="eastAsia" w:ascii="宋体" w:hAnsi="宋体" w:eastAsia="宋体" w:cs="宋体"/>
                <w:sz w:val="18"/>
                <w:szCs w:val="18"/>
              </w:rPr>
              <w:t>6</w:t>
            </w:r>
          </w:p>
        </w:tc>
        <w:tc>
          <w:tcPr>
            <w:tcW w:w="1187" w:type="dxa"/>
            <w:vAlign w:val="center"/>
          </w:tcPr>
          <w:p w14:paraId="02C7100F">
            <w:pPr>
              <w:jc w:val="center"/>
              <w:rPr>
                <w:rFonts w:ascii="宋体" w:hAnsi="宋体" w:eastAsia="宋体" w:cs="宋体"/>
                <w:sz w:val="18"/>
                <w:szCs w:val="18"/>
              </w:rPr>
            </w:pPr>
            <w:r>
              <w:rPr>
                <w:rFonts w:hint="eastAsia" w:ascii="宋体" w:hAnsi="宋体" w:eastAsia="宋体" w:cs="宋体"/>
                <w:sz w:val="18"/>
                <w:szCs w:val="18"/>
              </w:rPr>
              <w:t>管理会计</w:t>
            </w:r>
          </w:p>
        </w:tc>
        <w:tc>
          <w:tcPr>
            <w:tcW w:w="558" w:type="dxa"/>
            <w:vAlign w:val="center"/>
          </w:tcPr>
          <w:p w14:paraId="29BFC9D2">
            <w:pPr>
              <w:jc w:val="center"/>
              <w:rPr>
                <w:rFonts w:ascii="宋体" w:hAnsi="宋体" w:eastAsia="宋体" w:cs="宋体"/>
                <w:sz w:val="18"/>
                <w:szCs w:val="18"/>
              </w:rPr>
            </w:pPr>
            <w:r>
              <w:rPr>
                <w:rFonts w:hint="eastAsia" w:ascii="宋体" w:hAnsi="宋体" w:eastAsia="宋体" w:cs="宋体"/>
                <w:sz w:val="18"/>
                <w:szCs w:val="18"/>
              </w:rPr>
              <w:t>4</w:t>
            </w:r>
          </w:p>
        </w:tc>
        <w:tc>
          <w:tcPr>
            <w:tcW w:w="709" w:type="dxa"/>
            <w:vAlign w:val="center"/>
          </w:tcPr>
          <w:p w14:paraId="3DAE43E0">
            <w:pPr>
              <w:jc w:val="center"/>
              <w:rPr>
                <w:rFonts w:ascii="宋体" w:hAnsi="宋体" w:eastAsia="宋体" w:cs="宋体"/>
                <w:sz w:val="18"/>
                <w:szCs w:val="18"/>
              </w:rPr>
            </w:pPr>
            <w:r>
              <w:rPr>
                <w:rFonts w:hint="eastAsia" w:ascii="宋体" w:hAnsi="宋体" w:eastAsia="宋体" w:cs="宋体"/>
                <w:sz w:val="18"/>
                <w:szCs w:val="18"/>
              </w:rPr>
              <w:t>72</w:t>
            </w:r>
          </w:p>
        </w:tc>
        <w:tc>
          <w:tcPr>
            <w:tcW w:w="5670" w:type="dxa"/>
            <w:vAlign w:val="center"/>
          </w:tcPr>
          <w:p w14:paraId="616EB6E6">
            <w:pPr>
              <w:shd w:val="clear" w:color="auto" w:fill="FFFFFF"/>
              <w:spacing w:after="0"/>
              <w:jc w:val="both"/>
              <w:rPr>
                <w:rFonts w:ascii="宋体" w:hAnsi="宋体" w:eastAsia="宋体" w:cs="宋体"/>
                <w:color w:val="000000"/>
                <w:sz w:val="18"/>
                <w:szCs w:val="18"/>
              </w:rPr>
            </w:pPr>
            <w:r>
              <w:rPr>
                <w:rFonts w:hint="eastAsia" w:ascii="宋体" w:hAnsi="宋体" w:eastAsia="宋体" w:cs="宋体"/>
                <w:color w:val="000000"/>
                <w:sz w:val="18"/>
                <w:szCs w:val="18"/>
                <w:lang w:bidi="ar"/>
              </w:rPr>
              <w:t>本</w:t>
            </w:r>
            <w:r>
              <w:rPr>
                <w:rFonts w:hint="eastAsia" w:ascii="宋体" w:hAnsi="宋体" w:eastAsia="宋体" w:cs="宋体"/>
                <w:color w:val="333333"/>
                <w:sz w:val="18"/>
                <w:szCs w:val="18"/>
                <w:shd w:val="clear" w:color="auto" w:fill="FFFFFF"/>
              </w:rPr>
              <w:t>课程内容包括管理会计认知，分岗位分模块理论授课涵盖预算管理、成本管理、营运管理、绩效管理、责任会计知识点。本课程以工作任务为中心，用案例形式让学生在完成具体项目的过程中构建相关理论知识，充分体现教、学、做的统一，分阶段、循序渐进进行教学，每一阶段均设置“做中学”案例和“技能训练”案例。</w:t>
            </w:r>
          </w:p>
        </w:tc>
      </w:tr>
      <w:tr w14:paraId="0F49E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4" w:hRule="atLeast"/>
        </w:trPr>
        <w:tc>
          <w:tcPr>
            <w:tcW w:w="807" w:type="dxa"/>
            <w:vAlign w:val="center"/>
          </w:tcPr>
          <w:p w14:paraId="09AE2F92">
            <w:pPr>
              <w:jc w:val="center"/>
              <w:rPr>
                <w:rFonts w:ascii="宋体" w:hAnsi="宋体" w:eastAsia="宋体" w:cs="宋体"/>
                <w:sz w:val="18"/>
                <w:szCs w:val="18"/>
              </w:rPr>
            </w:pPr>
            <w:r>
              <w:rPr>
                <w:rFonts w:hint="eastAsia" w:ascii="宋体" w:hAnsi="宋体" w:eastAsia="宋体" w:cs="宋体"/>
                <w:sz w:val="18"/>
                <w:szCs w:val="18"/>
              </w:rPr>
              <w:t>7</w:t>
            </w:r>
          </w:p>
        </w:tc>
        <w:tc>
          <w:tcPr>
            <w:tcW w:w="1187" w:type="dxa"/>
            <w:vAlign w:val="center"/>
          </w:tcPr>
          <w:p w14:paraId="7A63B034">
            <w:pPr>
              <w:spacing w:after="0" w:line="320" w:lineRule="exact"/>
              <w:rPr>
                <w:rFonts w:ascii="宋体" w:hAnsi="宋体" w:eastAsia="宋体" w:cs="宋体"/>
                <w:sz w:val="18"/>
                <w:szCs w:val="18"/>
              </w:rPr>
            </w:pPr>
            <w:r>
              <w:rPr>
                <w:rFonts w:hint="eastAsia" w:ascii="宋体" w:hAnsi="宋体" w:eastAsia="宋体" w:cs="宋体"/>
                <w:sz w:val="18"/>
                <w:szCs w:val="18"/>
              </w:rPr>
              <w:t>成本核算与</w:t>
            </w:r>
          </w:p>
          <w:p w14:paraId="5D6BB59F">
            <w:pPr>
              <w:jc w:val="center"/>
              <w:rPr>
                <w:rFonts w:ascii="宋体" w:hAnsi="宋体" w:eastAsia="宋体" w:cs="宋体"/>
                <w:sz w:val="18"/>
                <w:szCs w:val="18"/>
              </w:rPr>
            </w:pPr>
          </w:p>
        </w:tc>
        <w:tc>
          <w:tcPr>
            <w:tcW w:w="558" w:type="dxa"/>
            <w:vAlign w:val="center"/>
          </w:tcPr>
          <w:p w14:paraId="082382FC">
            <w:pPr>
              <w:jc w:val="center"/>
              <w:rPr>
                <w:rFonts w:ascii="宋体" w:hAnsi="宋体" w:eastAsia="宋体" w:cs="宋体"/>
                <w:sz w:val="18"/>
                <w:szCs w:val="18"/>
              </w:rPr>
            </w:pPr>
            <w:r>
              <w:rPr>
                <w:rFonts w:hint="eastAsia" w:ascii="宋体" w:hAnsi="宋体" w:eastAsia="宋体" w:cs="宋体"/>
                <w:sz w:val="18"/>
                <w:szCs w:val="18"/>
              </w:rPr>
              <w:t>4</w:t>
            </w:r>
          </w:p>
        </w:tc>
        <w:tc>
          <w:tcPr>
            <w:tcW w:w="709" w:type="dxa"/>
            <w:vAlign w:val="center"/>
          </w:tcPr>
          <w:p w14:paraId="5564B871">
            <w:pPr>
              <w:jc w:val="center"/>
              <w:rPr>
                <w:rFonts w:ascii="宋体" w:hAnsi="宋体" w:eastAsia="宋体" w:cs="宋体"/>
                <w:sz w:val="18"/>
                <w:szCs w:val="18"/>
              </w:rPr>
            </w:pPr>
            <w:r>
              <w:rPr>
                <w:rFonts w:hint="eastAsia" w:ascii="宋体" w:hAnsi="宋体" w:eastAsia="宋体" w:cs="宋体"/>
                <w:sz w:val="18"/>
                <w:szCs w:val="18"/>
              </w:rPr>
              <w:t>72</w:t>
            </w:r>
          </w:p>
        </w:tc>
        <w:tc>
          <w:tcPr>
            <w:tcW w:w="5670" w:type="dxa"/>
          </w:tcPr>
          <w:p w14:paraId="1404980D">
            <w:pPr>
              <w:rPr>
                <w:rFonts w:ascii="宋体" w:hAnsi="宋体" w:eastAsia="宋体" w:cs="宋体"/>
                <w:sz w:val="18"/>
                <w:szCs w:val="18"/>
              </w:rPr>
            </w:pPr>
            <w:r>
              <w:rPr>
                <w:rFonts w:hint="eastAsia" w:ascii="宋体" w:hAnsi="宋体" w:eastAsia="宋体" w:cs="宋体"/>
                <w:color w:val="333333"/>
                <w:sz w:val="18"/>
                <w:szCs w:val="18"/>
                <w:shd w:val="clear" w:color="auto" w:fill="FFFFFF"/>
              </w:rPr>
              <w:t>本课程主要讲授的是工费用的分类、成本核算的一般程序、要素费用的核算、辅助生产费用的核算、制造费用的核算、废品损失和停工损失的核算、生产费用在完工产品与在产品之间的分配方法、产品成本计算的基本方法和成本报表的编制和分析，通过学习使学生掌握独立核算的工业企业的账务处理程序和方法。</w:t>
            </w:r>
          </w:p>
        </w:tc>
      </w:tr>
      <w:tr w14:paraId="48BE0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trPr>
        <w:tc>
          <w:tcPr>
            <w:tcW w:w="807" w:type="dxa"/>
            <w:vAlign w:val="center"/>
          </w:tcPr>
          <w:p w14:paraId="21E664CB">
            <w:pPr>
              <w:jc w:val="center"/>
              <w:rPr>
                <w:rFonts w:ascii="宋体" w:hAnsi="宋体" w:eastAsia="宋体" w:cs="宋体"/>
                <w:sz w:val="18"/>
                <w:szCs w:val="18"/>
              </w:rPr>
            </w:pPr>
            <w:r>
              <w:rPr>
                <w:rFonts w:hint="eastAsia" w:ascii="宋体" w:hAnsi="宋体" w:eastAsia="宋体" w:cs="宋体"/>
                <w:sz w:val="18"/>
                <w:szCs w:val="18"/>
              </w:rPr>
              <w:t>8</w:t>
            </w:r>
          </w:p>
        </w:tc>
        <w:tc>
          <w:tcPr>
            <w:tcW w:w="1187" w:type="dxa"/>
            <w:vAlign w:val="center"/>
          </w:tcPr>
          <w:p w14:paraId="1EB58821">
            <w:pPr>
              <w:jc w:val="center"/>
              <w:rPr>
                <w:rFonts w:ascii="宋体" w:hAnsi="宋体" w:eastAsia="宋体" w:cs="宋体"/>
                <w:sz w:val="18"/>
                <w:szCs w:val="18"/>
              </w:rPr>
            </w:pPr>
            <w:r>
              <w:rPr>
                <w:rFonts w:hint="eastAsia" w:ascii="宋体" w:hAnsi="宋体" w:eastAsia="宋体" w:cs="宋体"/>
                <w:sz w:val="18"/>
                <w:szCs w:val="18"/>
              </w:rPr>
              <w:t>企业财务机器人应用</w:t>
            </w:r>
          </w:p>
        </w:tc>
        <w:tc>
          <w:tcPr>
            <w:tcW w:w="558" w:type="dxa"/>
            <w:vAlign w:val="center"/>
          </w:tcPr>
          <w:p w14:paraId="35341F4C">
            <w:pPr>
              <w:jc w:val="center"/>
              <w:rPr>
                <w:rFonts w:ascii="宋体" w:hAnsi="宋体" w:eastAsia="宋体" w:cs="宋体"/>
                <w:sz w:val="18"/>
                <w:szCs w:val="18"/>
              </w:rPr>
            </w:pPr>
            <w:r>
              <w:rPr>
                <w:rFonts w:hint="eastAsia" w:ascii="宋体" w:hAnsi="宋体" w:eastAsia="宋体" w:cs="宋体"/>
                <w:sz w:val="18"/>
                <w:szCs w:val="18"/>
              </w:rPr>
              <w:t>4</w:t>
            </w:r>
          </w:p>
        </w:tc>
        <w:tc>
          <w:tcPr>
            <w:tcW w:w="709" w:type="dxa"/>
            <w:vAlign w:val="center"/>
          </w:tcPr>
          <w:p w14:paraId="2BA18120">
            <w:pPr>
              <w:jc w:val="center"/>
              <w:rPr>
                <w:rFonts w:ascii="宋体" w:hAnsi="宋体" w:eastAsia="宋体" w:cs="宋体"/>
                <w:sz w:val="18"/>
                <w:szCs w:val="18"/>
              </w:rPr>
            </w:pPr>
            <w:r>
              <w:rPr>
                <w:rFonts w:hint="eastAsia" w:ascii="宋体" w:hAnsi="宋体" w:eastAsia="宋体" w:cs="宋体"/>
                <w:sz w:val="18"/>
                <w:szCs w:val="18"/>
              </w:rPr>
              <w:t>72</w:t>
            </w:r>
          </w:p>
        </w:tc>
        <w:tc>
          <w:tcPr>
            <w:tcW w:w="5670" w:type="dxa"/>
            <w:vAlign w:val="center"/>
          </w:tcPr>
          <w:p w14:paraId="6DE36C48">
            <w:pPr>
              <w:jc w:val="both"/>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目的是让学生了解RPA财务机器人的特点，熟悉RPA财务机器人的应用领域，掌握RPA财务机器人的应用分析。主要内容包括：利用RPA财务机器人多渠道抓取信息，对订单管理运行自动化流程管理；检索、分析财务交易信息。</w:t>
            </w:r>
          </w:p>
        </w:tc>
      </w:tr>
      <w:tr w14:paraId="24092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807" w:type="dxa"/>
            <w:vAlign w:val="center"/>
          </w:tcPr>
          <w:p w14:paraId="3D2667D2">
            <w:pPr>
              <w:jc w:val="center"/>
              <w:rPr>
                <w:rFonts w:ascii="宋体" w:hAnsi="宋体" w:eastAsia="宋体" w:cs="宋体"/>
                <w:sz w:val="18"/>
                <w:szCs w:val="18"/>
              </w:rPr>
            </w:pPr>
            <w:r>
              <w:rPr>
                <w:rFonts w:hint="eastAsia" w:ascii="宋体" w:hAnsi="宋体" w:eastAsia="宋体" w:cs="宋体"/>
                <w:sz w:val="18"/>
                <w:szCs w:val="18"/>
              </w:rPr>
              <w:t>9</w:t>
            </w:r>
          </w:p>
        </w:tc>
        <w:tc>
          <w:tcPr>
            <w:tcW w:w="1187" w:type="dxa"/>
            <w:vAlign w:val="center"/>
          </w:tcPr>
          <w:p w14:paraId="0569C3A7">
            <w:pPr>
              <w:jc w:val="center"/>
              <w:rPr>
                <w:rFonts w:ascii="宋体" w:hAnsi="宋体" w:eastAsia="宋体" w:cs="宋体"/>
                <w:sz w:val="18"/>
                <w:szCs w:val="18"/>
              </w:rPr>
            </w:pPr>
            <w:r>
              <w:rPr>
                <w:rFonts w:hint="eastAsia" w:ascii="宋体" w:hAnsi="宋体" w:eastAsia="宋体" w:cs="宋体"/>
                <w:sz w:val="18"/>
                <w:szCs w:val="18"/>
              </w:rPr>
              <w:t>智慧税费申报与管理</w:t>
            </w:r>
          </w:p>
        </w:tc>
        <w:tc>
          <w:tcPr>
            <w:tcW w:w="558" w:type="dxa"/>
            <w:vAlign w:val="center"/>
          </w:tcPr>
          <w:p w14:paraId="45838169">
            <w:pPr>
              <w:jc w:val="center"/>
              <w:rPr>
                <w:rFonts w:ascii="宋体" w:hAnsi="宋体" w:eastAsia="宋体" w:cs="宋体"/>
                <w:sz w:val="18"/>
                <w:szCs w:val="18"/>
              </w:rPr>
            </w:pPr>
            <w:r>
              <w:rPr>
                <w:rFonts w:hint="eastAsia" w:ascii="宋体" w:hAnsi="宋体" w:eastAsia="宋体" w:cs="宋体"/>
                <w:sz w:val="18"/>
                <w:szCs w:val="18"/>
              </w:rPr>
              <w:t>4</w:t>
            </w:r>
          </w:p>
        </w:tc>
        <w:tc>
          <w:tcPr>
            <w:tcW w:w="709" w:type="dxa"/>
            <w:vAlign w:val="center"/>
          </w:tcPr>
          <w:p w14:paraId="61086545">
            <w:pPr>
              <w:jc w:val="center"/>
              <w:rPr>
                <w:rFonts w:ascii="宋体" w:hAnsi="宋体" w:eastAsia="宋体" w:cs="宋体"/>
                <w:sz w:val="18"/>
                <w:szCs w:val="18"/>
              </w:rPr>
            </w:pPr>
            <w:r>
              <w:rPr>
                <w:rFonts w:hint="eastAsia" w:ascii="宋体" w:hAnsi="宋体" w:eastAsia="宋体" w:cs="宋体"/>
                <w:sz w:val="18"/>
                <w:szCs w:val="18"/>
              </w:rPr>
              <w:t>72</w:t>
            </w:r>
          </w:p>
        </w:tc>
        <w:tc>
          <w:tcPr>
            <w:tcW w:w="5670" w:type="dxa"/>
            <w:vAlign w:val="center"/>
          </w:tcPr>
          <w:p w14:paraId="1A21F6E3">
            <w:pPr>
              <w:textAlignment w:val="center"/>
              <w:rPr>
                <w:rFonts w:ascii="宋体" w:hAnsi="宋体" w:eastAsia="宋体" w:cs="宋体"/>
                <w:color w:val="000000"/>
                <w:sz w:val="18"/>
                <w:szCs w:val="18"/>
              </w:rPr>
            </w:pPr>
            <w:r>
              <w:rPr>
                <w:rFonts w:hint="eastAsia" w:ascii="宋体" w:hAnsi="宋体" w:eastAsia="宋体" w:cs="宋体"/>
                <w:color w:val="333333"/>
                <w:sz w:val="18"/>
                <w:szCs w:val="18"/>
                <w:shd w:val="clear" w:color="auto" w:fill="FFFFFF"/>
              </w:rPr>
              <w:t>从企业税务会计人员的岗位技能和工作过程出发，比较全面、科学、系统地介绍了企业纳税会计所涉及的各税种的确定、税款的计算、税务处理和纳税申报等方法。</w:t>
            </w:r>
            <w:r>
              <w:rPr>
                <w:rFonts w:hint="eastAsia" w:ascii="宋体" w:hAnsi="宋体" w:eastAsia="宋体" w:cs="宋体"/>
                <w:color w:val="000000"/>
                <w:sz w:val="18"/>
                <w:szCs w:val="18"/>
                <w:lang w:bidi="ar"/>
              </w:rPr>
              <w:t>主要包括：税务筹划基础知识、增值税税务筹划、消费税税务筹划、营业税税务筹划、企业所得税税务筹划、个人所得税税务筹划、其他税种税务筹划等。</w:t>
            </w:r>
          </w:p>
        </w:tc>
      </w:tr>
      <w:tr w14:paraId="16D9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 w:hRule="atLeast"/>
        </w:trPr>
        <w:tc>
          <w:tcPr>
            <w:tcW w:w="807" w:type="dxa"/>
            <w:vAlign w:val="center"/>
          </w:tcPr>
          <w:p w14:paraId="0F53056B">
            <w:pPr>
              <w:jc w:val="center"/>
              <w:rPr>
                <w:rFonts w:ascii="宋体" w:hAnsi="宋体" w:eastAsia="宋体" w:cs="宋体"/>
                <w:sz w:val="18"/>
                <w:szCs w:val="18"/>
              </w:rPr>
            </w:pPr>
            <w:r>
              <w:rPr>
                <w:rFonts w:hint="eastAsia" w:ascii="宋体" w:hAnsi="宋体" w:eastAsia="宋体" w:cs="宋体"/>
                <w:sz w:val="18"/>
                <w:szCs w:val="18"/>
              </w:rPr>
              <w:t>10</w:t>
            </w:r>
          </w:p>
        </w:tc>
        <w:tc>
          <w:tcPr>
            <w:tcW w:w="1187" w:type="dxa"/>
            <w:vAlign w:val="center"/>
          </w:tcPr>
          <w:p w14:paraId="7F039DE7">
            <w:pPr>
              <w:jc w:val="center"/>
              <w:rPr>
                <w:rFonts w:ascii="宋体" w:hAnsi="宋体" w:eastAsia="宋体" w:cs="宋体"/>
                <w:sz w:val="18"/>
                <w:szCs w:val="18"/>
              </w:rPr>
            </w:pPr>
            <w:r>
              <w:rPr>
                <w:rFonts w:hint="eastAsia" w:ascii="宋体" w:hAnsi="宋体" w:eastAsia="宋体" w:cs="宋体"/>
                <w:color w:val="000000"/>
                <w:sz w:val="18"/>
                <w:szCs w:val="18"/>
                <w:lang w:bidi="ar"/>
              </w:rPr>
              <w:t>会计信息管理化综合实训</w:t>
            </w:r>
          </w:p>
        </w:tc>
        <w:tc>
          <w:tcPr>
            <w:tcW w:w="558" w:type="dxa"/>
            <w:vAlign w:val="center"/>
          </w:tcPr>
          <w:p w14:paraId="48CDA46C">
            <w:pPr>
              <w:jc w:val="center"/>
              <w:rPr>
                <w:rFonts w:ascii="宋体" w:hAnsi="宋体" w:eastAsia="宋体" w:cs="宋体"/>
                <w:sz w:val="18"/>
                <w:szCs w:val="18"/>
              </w:rPr>
            </w:pPr>
            <w:r>
              <w:rPr>
                <w:rFonts w:hint="eastAsia" w:ascii="宋体" w:hAnsi="宋体" w:eastAsia="宋体" w:cs="宋体"/>
                <w:sz w:val="18"/>
                <w:szCs w:val="18"/>
              </w:rPr>
              <w:t>4</w:t>
            </w:r>
          </w:p>
        </w:tc>
        <w:tc>
          <w:tcPr>
            <w:tcW w:w="709" w:type="dxa"/>
            <w:vAlign w:val="center"/>
          </w:tcPr>
          <w:p w14:paraId="1429A6AB">
            <w:pPr>
              <w:jc w:val="center"/>
              <w:rPr>
                <w:rFonts w:ascii="宋体" w:hAnsi="宋体" w:eastAsia="宋体" w:cs="宋体"/>
                <w:sz w:val="18"/>
                <w:szCs w:val="18"/>
              </w:rPr>
            </w:pPr>
            <w:r>
              <w:rPr>
                <w:rFonts w:hint="eastAsia" w:ascii="宋体" w:hAnsi="宋体" w:eastAsia="宋体" w:cs="宋体"/>
                <w:sz w:val="18"/>
                <w:szCs w:val="18"/>
              </w:rPr>
              <w:t>72</w:t>
            </w:r>
          </w:p>
        </w:tc>
        <w:tc>
          <w:tcPr>
            <w:tcW w:w="5670" w:type="dxa"/>
            <w:vAlign w:val="center"/>
          </w:tcPr>
          <w:p w14:paraId="1CEBA306">
            <w:pPr>
              <w:rPr>
                <w:rFonts w:ascii="宋体" w:hAnsi="宋体" w:eastAsia="宋体" w:cs="宋体"/>
                <w:sz w:val="18"/>
                <w:szCs w:val="18"/>
                <w:highlight w:val="yellow"/>
              </w:rPr>
            </w:pPr>
            <w:r>
              <w:rPr>
                <w:rFonts w:hint="eastAsia" w:ascii="宋体" w:hAnsi="宋体" w:eastAsia="宋体" w:cs="宋体"/>
                <w:color w:val="333333"/>
                <w:sz w:val="18"/>
                <w:szCs w:val="18"/>
                <w:shd w:val="clear" w:color="auto" w:fill="FFFFFF"/>
              </w:rPr>
              <w:t>通过会计专业综合实训教学，使学生加强对会计基本理论的理解、会计基本方法的运用和会计基本技能的训练，使其把书本知识和实际业务处理进行对照比较，加深认识，达到理论教学和会计实务的统一，增强学生毕业后独立从事会计工作的能力</w:t>
            </w:r>
          </w:p>
        </w:tc>
      </w:tr>
      <w:tr w14:paraId="4FCC7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0" w:hRule="atLeast"/>
        </w:trPr>
        <w:tc>
          <w:tcPr>
            <w:tcW w:w="807" w:type="dxa"/>
            <w:vAlign w:val="center"/>
          </w:tcPr>
          <w:p w14:paraId="3E853EED">
            <w:pPr>
              <w:jc w:val="center"/>
              <w:rPr>
                <w:rFonts w:ascii="宋体" w:hAnsi="宋体" w:eastAsia="宋体" w:cs="宋体"/>
                <w:sz w:val="18"/>
                <w:szCs w:val="18"/>
              </w:rPr>
            </w:pPr>
            <w:r>
              <w:rPr>
                <w:rFonts w:hint="eastAsia" w:ascii="宋体" w:hAnsi="宋体" w:eastAsia="宋体" w:cs="宋体"/>
                <w:sz w:val="18"/>
                <w:szCs w:val="18"/>
              </w:rPr>
              <w:t>11</w:t>
            </w:r>
          </w:p>
        </w:tc>
        <w:tc>
          <w:tcPr>
            <w:tcW w:w="1187" w:type="dxa"/>
            <w:vAlign w:val="center"/>
          </w:tcPr>
          <w:p w14:paraId="18CBDF72">
            <w:pPr>
              <w:jc w:val="center"/>
              <w:rPr>
                <w:rFonts w:ascii="宋体" w:hAnsi="宋体" w:eastAsia="宋体" w:cs="宋体"/>
                <w:sz w:val="18"/>
                <w:szCs w:val="18"/>
              </w:rPr>
            </w:pPr>
            <w:r>
              <w:rPr>
                <w:rFonts w:hint="eastAsia" w:ascii="宋体" w:hAnsi="宋体" w:eastAsia="宋体" w:cs="宋体"/>
                <w:sz w:val="18"/>
                <w:szCs w:val="18"/>
              </w:rPr>
              <w:t>审计基础与实务</w:t>
            </w:r>
          </w:p>
        </w:tc>
        <w:tc>
          <w:tcPr>
            <w:tcW w:w="558" w:type="dxa"/>
            <w:vAlign w:val="center"/>
          </w:tcPr>
          <w:p w14:paraId="6047C79E">
            <w:pPr>
              <w:jc w:val="center"/>
              <w:rPr>
                <w:rFonts w:ascii="宋体" w:hAnsi="宋体" w:eastAsia="宋体" w:cs="宋体"/>
                <w:sz w:val="18"/>
                <w:szCs w:val="18"/>
              </w:rPr>
            </w:pPr>
            <w:r>
              <w:rPr>
                <w:rFonts w:hint="eastAsia" w:ascii="宋体" w:hAnsi="宋体" w:eastAsia="宋体" w:cs="宋体"/>
                <w:sz w:val="18"/>
                <w:szCs w:val="18"/>
              </w:rPr>
              <w:t>4</w:t>
            </w:r>
          </w:p>
        </w:tc>
        <w:tc>
          <w:tcPr>
            <w:tcW w:w="709" w:type="dxa"/>
            <w:vAlign w:val="center"/>
          </w:tcPr>
          <w:p w14:paraId="3CC1E2DF">
            <w:pPr>
              <w:jc w:val="center"/>
              <w:rPr>
                <w:rFonts w:ascii="宋体" w:hAnsi="宋体" w:eastAsia="宋体" w:cs="宋体"/>
                <w:sz w:val="18"/>
                <w:szCs w:val="18"/>
              </w:rPr>
            </w:pPr>
            <w:r>
              <w:rPr>
                <w:rFonts w:hint="eastAsia" w:ascii="宋体" w:hAnsi="宋体" w:eastAsia="宋体" w:cs="宋体"/>
                <w:sz w:val="18"/>
                <w:szCs w:val="18"/>
              </w:rPr>
              <w:t>72</w:t>
            </w:r>
          </w:p>
        </w:tc>
        <w:tc>
          <w:tcPr>
            <w:tcW w:w="5670" w:type="dxa"/>
            <w:vAlign w:val="center"/>
          </w:tcPr>
          <w:p w14:paraId="7529631E">
            <w:pPr>
              <w:rPr>
                <w:rFonts w:ascii="宋体" w:hAnsi="宋体" w:eastAsia="宋体" w:cs="宋体"/>
                <w:sz w:val="18"/>
                <w:szCs w:val="18"/>
              </w:rPr>
            </w:pPr>
            <w:r>
              <w:rPr>
                <w:rFonts w:hint="eastAsia" w:ascii="宋体" w:hAnsi="宋体" w:eastAsia="宋体" w:cs="宋体"/>
                <w:color w:val="333333"/>
                <w:sz w:val="18"/>
                <w:szCs w:val="18"/>
                <w:shd w:val="clear" w:color="auto" w:fill="FFFFFF"/>
              </w:rPr>
              <w:t>本课程主要讲授审计的概念、职能和对资产、收入、负债等会计处理的审计，它要求学生能够审计单位会计处理的错账和假账并能够做出相应的调整分录，提出审计意见，写出审计报告。本课程主要讲授审计的概念、职能和对资产、收入、负债等会计处理的审计。</w:t>
            </w:r>
          </w:p>
        </w:tc>
      </w:tr>
      <w:tr w14:paraId="17169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rPr>
        <w:tc>
          <w:tcPr>
            <w:tcW w:w="807" w:type="dxa"/>
            <w:vAlign w:val="center"/>
          </w:tcPr>
          <w:p w14:paraId="72AA8BE1">
            <w:pPr>
              <w:jc w:val="center"/>
              <w:rPr>
                <w:rFonts w:ascii="宋体" w:hAnsi="宋体" w:eastAsia="宋体" w:cs="宋体"/>
                <w:sz w:val="18"/>
                <w:szCs w:val="18"/>
              </w:rPr>
            </w:pPr>
            <w:r>
              <w:rPr>
                <w:rFonts w:hint="eastAsia" w:ascii="宋体" w:hAnsi="宋体" w:eastAsia="宋体" w:cs="宋体"/>
                <w:sz w:val="18"/>
                <w:szCs w:val="18"/>
              </w:rPr>
              <w:t>12</w:t>
            </w:r>
          </w:p>
        </w:tc>
        <w:tc>
          <w:tcPr>
            <w:tcW w:w="1187" w:type="dxa"/>
            <w:vAlign w:val="center"/>
          </w:tcPr>
          <w:p w14:paraId="13C5214A">
            <w:pPr>
              <w:jc w:val="center"/>
              <w:rPr>
                <w:rFonts w:ascii="宋体" w:hAnsi="宋体" w:eastAsia="宋体" w:cs="宋体"/>
                <w:sz w:val="18"/>
                <w:szCs w:val="18"/>
              </w:rPr>
            </w:pPr>
            <w:r>
              <w:rPr>
                <w:rFonts w:hint="eastAsia" w:ascii="宋体" w:hAnsi="宋体" w:eastAsia="宋体" w:cs="宋体"/>
                <w:color w:val="000000"/>
                <w:sz w:val="18"/>
                <w:szCs w:val="18"/>
                <w:lang w:bidi="ar"/>
              </w:rPr>
              <w:t>财务大数据分析</w:t>
            </w:r>
          </w:p>
        </w:tc>
        <w:tc>
          <w:tcPr>
            <w:tcW w:w="558" w:type="dxa"/>
            <w:vAlign w:val="center"/>
          </w:tcPr>
          <w:p w14:paraId="0C9AD2C0">
            <w:pPr>
              <w:jc w:val="center"/>
              <w:rPr>
                <w:rFonts w:ascii="宋体" w:hAnsi="宋体" w:eastAsia="宋体" w:cs="宋体"/>
                <w:sz w:val="18"/>
                <w:szCs w:val="18"/>
              </w:rPr>
            </w:pPr>
            <w:r>
              <w:rPr>
                <w:rFonts w:hint="eastAsia" w:ascii="宋体" w:hAnsi="宋体" w:eastAsia="宋体" w:cs="宋体"/>
                <w:sz w:val="18"/>
                <w:szCs w:val="18"/>
              </w:rPr>
              <w:t>4</w:t>
            </w:r>
          </w:p>
        </w:tc>
        <w:tc>
          <w:tcPr>
            <w:tcW w:w="709" w:type="dxa"/>
            <w:vAlign w:val="center"/>
          </w:tcPr>
          <w:p w14:paraId="2A93D270">
            <w:pPr>
              <w:jc w:val="center"/>
              <w:rPr>
                <w:rFonts w:ascii="宋体" w:hAnsi="宋体" w:eastAsia="宋体" w:cs="宋体"/>
                <w:sz w:val="18"/>
                <w:szCs w:val="18"/>
              </w:rPr>
            </w:pPr>
            <w:r>
              <w:rPr>
                <w:rFonts w:hint="eastAsia" w:ascii="宋体" w:hAnsi="宋体" w:eastAsia="宋体" w:cs="宋体"/>
                <w:sz w:val="18"/>
                <w:szCs w:val="18"/>
              </w:rPr>
              <w:t>72</w:t>
            </w:r>
          </w:p>
        </w:tc>
        <w:tc>
          <w:tcPr>
            <w:tcW w:w="5670" w:type="dxa"/>
            <w:vAlign w:val="center"/>
          </w:tcPr>
          <w:p w14:paraId="03FCDF7E">
            <w:pPr>
              <w:rPr>
                <w:rFonts w:ascii="宋体" w:hAnsi="宋体" w:eastAsia="宋体" w:cs="宋体"/>
                <w:color w:val="333333"/>
                <w:sz w:val="18"/>
                <w:szCs w:val="18"/>
                <w:shd w:val="clear" w:color="auto" w:fill="FFFFFF"/>
              </w:rPr>
            </w:pPr>
            <w:r>
              <w:rPr>
                <w:rFonts w:hint="eastAsia" w:ascii="宋体" w:hAnsi="宋体" w:eastAsia="宋体" w:cs="宋体"/>
                <w:color w:val="333333"/>
                <w:sz w:val="18"/>
                <w:szCs w:val="18"/>
                <w:shd w:val="clear" w:color="auto" w:fill="FFFFFF"/>
              </w:rPr>
              <w:t>该课程通过学习财务大数据分析的基本方法，使学生能对企业经营各环节进行具体的财务分析；能编写财务大数据分析报告。</w:t>
            </w:r>
          </w:p>
        </w:tc>
      </w:tr>
      <w:tr w14:paraId="1885B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807" w:type="dxa"/>
            <w:vAlign w:val="center"/>
          </w:tcPr>
          <w:p w14:paraId="59E6F4E5">
            <w:pPr>
              <w:jc w:val="center"/>
              <w:rPr>
                <w:rFonts w:ascii="宋体" w:hAnsi="宋体" w:eastAsia="宋体" w:cs="宋体"/>
                <w:sz w:val="18"/>
                <w:szCs w:val="18"/>
              </w:rPr>
            </w:pPr>
            <w:r>
              <w:rPr>
                <w:rFonts w:hint="eastAsia" w:ascii="宋体" w:hAnsi="宋体" w:eastAsia="宋体" w:cs="宋体"/>
                <w:sz w:val="18"/>
                <w:szCs w:val="18"/>
              </w:rPr>
              <w:t>13</w:t>
            </w:r>
          </w:p>
        </w:tc>
        <w:tc>
          <w:tcPr>
            <w:tcW w:w="1187" w:type="dxa"/>
            <w:vAlign w:val="center"/>
          </w:tcPr>
          <w:p w14:paraId="0C4DCEF5">
            <w:pPr>
              <w:jc w:val="center"/>
              <w:rPr>
                <w:rFonts w:ascii="宋体" w:hAnsi="宋体" w:eastAsia="宋体" w:cs="宋体"/>
                <w:sz w:val="18"/>
                <w:szCs w:val="18"/>
              </w:rPr>
            </w:pPr>
            <w:r>
              <w:rPr>
                <w:rFonts w:hint="eastAsia" w:ascii="宋体" w:hAnsi="宋体" w:eastAsia="宋体" w:cs="宋体"/>
                <w:sz w:val="18"/>
                <w:szCs w:val="18"/>
              </w:rPr>
              <w:t>会计信息管理化综合实训</w:t>
            </w:r>
          </w:p>
        </w:tc>
        <w:tc>
          <w:tcPr>
            <w:tcW w:w="558" w:type="dxa"/>
            <w:vAlign w:val="center"/>
          </w:tcPr>
          <w:p w14:paraId="200957B6">
            <w:pPr>
              <w:jc w:val="center"/>
              <w:rPr>
                <w:rFonts w:ascii="宋体" w:hAnsi="宋体" w:eastAsia="宋体" w:cs="宋体"/>
                <w:sz w:val="18"/>
                <w:szCs w:val="18"/>
              </w:rPr>
            </w:pPr>
          </w:p>
        </w:tc>
        <w:tc>
          <w:tcPr>
            <w:tcW w:w="709" w:type="dxa"/>
            <w:vAlign w:val="center"/>
          </w:tcPr>
          <w:p w14:paraId="21769844">
            <w:pPr>
              <w:jc w:val="center"/>
              <w:rPr>
                <w:rFonts w:ascii="宋体" w:hAnsi="宋体" w:eastAsia="宋体" w:cs="宋体"/>
                <w:sz w:val="18"/>
                <w:szCs w:val="18"/>
              </w:rPr>
            </w:pPr>
          </w:p>
        </w:tc>
        <w:tc>
          <w:tcPr>
            <w:tcW w:w="5670" w:type="dxa"/>
            <w:vAlign w:val="center"/>
          </w:tcPr>
          <w:p w14:paraId="5DBC368D">
            <w:pPr>
              <w:rPr>
                <w:rFonts w:ascii="宋体" w:hAnsi="宋体" w:eastAsia="宋体" w:cs="宋体"/>
                <w:color w:val="333333"/>
                <w:sz w:val="18"/>
                <w:szCs w:val="18"/>
                <w:shd w:val="clear" w:color="auto" w:fill="FFFFFF"/>
              </w:rPr>
            </w:pPr>
            <w:r>
              <w:rPr>
                <w:rFonts w:hint="eastAsia" w:ascii="宋体" w:hAnsi="宋体" w:eastAsia="宋体" w:cs="宋体"/>
                <w:snapToGrid w:val="0"/>
                <w:color w:val="000000"/>
                <w:sz w:val="18"/>
                <w:szCs w:val="18"/>
                <w:shd w:val="clear" w:color="auto" w:fill="FFFFFF"/>
                <w:lang w:bidi="ar"/>
              </w:rPr>
              <w:t> 本</w:t>
            </w:r>
            <w:r>
              <w:rPr>
                <w:rFonts w:hint="eastAsia" w:ascii="宋体" w:hAnsi="宋体" w:eastAsia="宋体" w:cs="宋体"/>
                <w:color w:val="333333"/>
                <w:sz w:val="18"/>
                <w:szCs w:val="18"/>
                <w:shd w:val="clear" w:color="auto" w:fill="FFFFFF"/>
              </w:rPr>
              <w:t>课程主要通过对会计信息系统基本理论、业财一体化设计原理、业务财务流程等基本知识以及总账管理、薪资管理、固定资产管理、购销存管理等子系统的业务操作进行教学，让学生熟练地运用会计信息系统进行操作，培养学生的财务业务一体化处理能力。</w:t>
            </w:r>
          </w:p>
        </w:tc>
      </w:tr>
      <w:bookmarkEnd w:id="99"/>
      <w:bookmarkEnd w:id="100"/>
    </w:tbl>
    <w:p w14:paraId="5C783C81">
      <w:pPr>
        <w:ind w:firstLine="562" w:firstLineChars="200"/>
        <w:rPr>
          <w:rFonts w:ascii="宋体" w:hAnsi="宋体" w:eastAsia="宋体" w:cs="宋体"/>
          <w:b/>
          <w:bCs/>
          <w:sz w:val="28"/>
          <w:szCs w:val="28"/>
        </w:rPr>
      </w:pPr>
      <w:r>
        <w:rPr>
          <w:rFonts w:hint="eastAsia" w:ascii="宋体" w:hAnsi="宋体" w:eastAsia="宋体" w:cs="宋体"/>
          <w:b/>
          <w:bCs/>
          <w:sz w:val="28"/>
          <w:szCs w:val="28"/>
        </w:rPr>
        <w:t>七、教学进程总体安排</w:t>
      </w:r>
    </w:p>
    <w:p w14:paraId="0BB5FFE0">
      <w:pPr>
        <w:pStyle w:val="3"/>
        <w:ind w:left="0" w:firstLine="562"/>
        <w:rPr>
          <w:sz w:val="28"/>
          <w:szCs w:val="28"/>
        </w:rPr>
      </w:pPr>
      <w:bookmarkStart w:id="101" w:name="_Toc14511"/>
      <w:bookmarkStart w:id="102" w:name="_Toc77884800"/>
      <w:bookmarkStart w:id="103" w:name="_Toc28941"/>
      <w:bookmarkStart w:id="104" w:name="_Toc11354"/>
      <w:bookmarkStart w:id="105" w:name="_Toc77885002"/>
      <w:bookmarkStart w:id="106" w:name="_Toc6437"/>
      <w:bookmarkStart w:id="107" w:name="_Toc77884803"/>
      <w:bookmarkStart w:id="108" w:name="_Toc77885005"/>
      <w:bookmarkStart w:id="109" w:name="_Toc7504"/>
      <w:bookmarkStart w:id="110" w:name="_Toc20294"/>
      <w:bookmarkStart w:id="111" w:name="_Toc11888"/>
      <w:r>
        <w:rPr>
          <w:rFonts w:hint="eastAsia"/>
          <w:sz w:val="28"/>
          <w:szCs w:val="28"/>
        </w:rPr>
        <w:t>（一）全学程教学历程</w:t>
      </w:r>
      <w:bookmarkEnd w:id="101"/>
      <w:bookmarkEnd w:id="102"/>
      <w:bookmarkEnd w:id="103"/>
      <w:bookmarkEnd w:id="104"/>
      <w:bookmarkEnd w:id="105"/>
    </w:p>
    <w:p w14:paraId="6025F423">
      <w:pPr>
        <w:overflowPunct w:val="0"/>
        <w:adjustRightInd w:val="0"/>
        <w:spacing w:after="0" w:line="440" w:lineRule="exact"/>
        <w:ind w:firstLine="422" w:firstLineChars="200"/>
        <w:jc w:val="center"/>
        <w:rPr>
          <w:rFonts w:ascii="宋体" w:hAnsi="宋体" w:eastAsia="宋体" w:cs="宋体"/>
          <w:b/>
          <w:bCs/>
          <w:color w:val="FF0000"/>
          <w:sz w:val="21"/>
          <w:szCs w:val="21"/>
          <w:lang w:val="zh-CN" w:bidi="zh-CN"/>
        </w:rPr>
      </w:pPr>
      <w:r>
        <w:rPr>
          <w:rFonts w:hint="eastAsia" w:ascii="宋体" w:hAnsi="宋体" w:eastAsia="宋体" w:cs="宋体"/>
          <w:b/>
          <w:bCs/>
          <w:sz w:val="21"/>
          <w:szCs w:val="21"/>
          <w:lang w:bidi="zh-CN"/>
        </w:rPr>
        <w:t>中高职贯通会计信息管理</w:t>
      </w:r>
      <w:r>
        <w:rPr>
          <w:rFonts w:hint="eastAsia" w:ascii="宋体" w:hAnsi="宋体" w:eastAsia="宋体" w:cs="宋体"/>
          <w:b/>
          <w:bCs/>
          <w:sz w:val="21"/>
          <w:szCs w:val="21"/>
          <w:lang w:val="zh-CN" w:bidi="zh-CN"/>
        </w:rPr>
        <w:t>专业全学程教学历程表</w:t>
      </w:r>
    </w:p>
    <w:tbl>
      <w:tblPr>
        <w:tblStyle w:val="13"/>
        <w:tblW w:w="863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34"/>
        <w:gridCol w:w="366"/>
        <w:gridCol w:w="335"/>
        <w:gridCol w:w="396"/>
        <w:gridCol w:w="365"/>
        <w:gridCol w:w="361"/>
        <w:gridCol w:w="361"/>
        <w:gridCol w:w="361"/>
        <w:gridCol w:w="361"/>
        <w:gridCol w:w="361"/>
        <w:gridCol w:w="439"/>
        <w:gridCol w:w="439"/>
        <w:gridCol w:w="439"/>
        <w:gridCol w:w="439"/>
        <w:gridCol w:w="439"/>
        <w:gridCol w:w="439"/>
        <w:gridCol w:w="439"/>
        <w:gridCol w:w="439"/>
        <w:gridCol w:w="439"/>
        <w:gridCol w:w="439"/>
        <w:gridCol w:w="439"/>
      </w:tblGrid>
      <w:tr w14:paraId="0306FE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9" w:hRule="atLeast"/>
          <w:jc w:val="center"/>
        </w:trPr>
        <w:tc>
          <w:tcPr>
            <w:tcW w:w="534" w:type="dxa"/>
            <w:tcBorders>
              <w:top w:val="single" w:color="auto" w:sz="4" w:space="0"/>
              <w:left w:val="single" w:color="auto" w:sz="4" w:space="0"/>
              <w:bottom w:val="single" w:color="auto" w:sz="4" w:space="0"/>
              <w:right w:val="single" w:color="auto" w:sz="4" w:space="0"/>
              <w:tl2br w:val="single" w:color="auto" w:sz="8" w:space="0"/>
            </w:tcBorders>
            <w:vAlign w:val="center"/>
          </w:tcPr>
          <w:p w14:paraId="2B13D2A9">
            <w:pPr>
              <w:snapToGrid w:val="0"/>
              <w:spacing w:after="0" w:line="320" w:lineRule="exact"/>
              <w:ind w:firstLine="100" w:firstLineChars="100"/>
              <w:rPr>
                <w:rFonts w:ascii="宋体"/>
                <w:color w:val="000000" w:themeColor="text1"/>
                <w:sz w:val="10"/>
                <w:szCs w:val="10"/>
                <w14:textFill>
                  <w14:solidFill>
                    <w14:schemeClr w14:val="tx1"/>
                  </w14:solidFill>
                </w14:textFill>
              </w:rPr>
            </w:pPr>
            <w:bookmarkStart w:id="112" w:name="_Toc77885003"/>
            <w:bookmarkStart w:id="113" w:name="_Toc30123"/>
            <w:bookmarkStart w:id="114" w:name="_Toc77884801"/>
            <w:bookmarkStart w:id="115" w:name="_Toc31986"/>
            <w:bookmarkStart w:id="116" w:name="_Toc3859"/>
            <w:r>
              <w:rPr>
                <w:rFonts w:hint="eastAsia" w:ascii="宋体" w:hAnsi="宋体" w:cs="宋体"/>
                <w:color w:val="000000" w:themeColor="text1"/>
                <w:sz w:val="10"/>
                <w:szCs w:val="10"/>
                <w14:textFill>
                  <w14:solidFill>
                    <w14:schemeClr w14:val="tx1"/>
                  </w14:solidFill>
                </w14:textFill>
              </w:rPr>
              <w:t>周次学期</w:t>
            </w:r>
          </w:p>
        </w:tc>
        <w:tc>
          <w:tcPr>
            <w:tcW w:w="366" w:type="dxa"/>
            <w:tcBorders>
              <w:top w:val="single" w:color="auto" w:sz="4" w:space="0"/>
              <w:left w:val="single" w:color="auto" w:sz="4" w:space="0"/>
              <w:bottom w:val="single" w:color="auto" w:sz="4" w:space="0"/>
              <w:right w:val="single" w:color="auto" w:sz="4" w:space="0"/>
            </w:tcBorders>
            <w:vAlign w:val="center"/>
          </w:tcPr>
          <w:p w14:paraId="32855F1C">
            <w:pPr>
              <w:spacing w:after="0"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w:t>
            </w:r>
          </w:p>
        </w:tc>
        <w:tc>
          <w:tcPr>
            <w:tcW w:w="335" w:type="dxa"/>
            <w:tcBorders>
              <w:top w:val="single" w:color="auto" w:sz="4" w:space="0"/>
              <w:left w:val="single" w:color="auto" w:sz="4" w:space="0"/>
              <w:bottom w:val="single" w:color="auto" w:sz="4" w:space="0"/>
              <w:right w:val="single" w:color="auto" w:sz="4" w:space="0"/>
            </w:tcBorders>
            <w:vAlign w:val="center"/>
          </w:tcPr>
          <w:p w14:paraId="419E741D">
            <w:pPr>
              <w:spacing w:after="0"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w:t>
            </w:r>
          </w:p>
        </w:tc>
        <w:tc>
          <w:tcPr>
            <w:tcW w:w="396" w:type="dxa"/>
            <w:tcBorders>
              <w:top w:val="single" w:color="auto" w:sz="4" w:space="0"/>
              <w:left w:val="single" w:color="auto" w:sz="4" w:space="0"/>
              <w:bottom w:val="single" w:color="auto" w:sz="4" w:space="0"/>
              <w:right w:val="single" w:color="auto" w:sz="4" w:space="0"/>
            </w:tcBorders>
            <w:vAlign w:val="center"/>
          </w:tcPr>
          <w:p w14:paraId="76D94630">
            <w:pPr>
              <w:spacing w:after="0"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w:t>
            </w:r>
          </w:p>
        </w:tc>
        <w:tc>
          <w:tcPr>
            <w:tcW w:w="365" w:type="dxa"/>
            <w:tcBorders>
              <w:top w:val="single" w:color="auto" w:sz="4" w:space="0"/>
              <w:left w:val="single" w:color="auto" w:sz="4" w:space="0"/>
              <w:bottom w:val="single" w:color="auto" w:sz="4" w:space="0"/>
              <w:right w:val="single" w:color="auto" w:sz="4" w:space="0"/>
            </w:tcBorders>
            <w:vAlign w:val="center"/>
          </w:tcPr>
          <w:p w14:paraId="08668E7C">
            <w:pPr>
              <w:spacing w:after="0"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w:t>
            </w:r>
          </w:p>
        </w:tc>
        <w:tc>
          <w:tcPr>
            <w:tcW w:w="361" w:type="dxa"/>
            <w:tcBorders>
              <w:top w:val="single" w:color="auto" w:sz="4" w:space="0"/>
              <w:left w:val="single" w:color="auto" w:sz="4" w:space="0"/>
              <w:bottom w:val="single" w:color="auto" w:sz="4" w:space="0"/>
              <w:right w:val="single" w:color="auto" w:sz="4" w:space="0"/>
            </w:tcBorders>
            <w:vAlign w:val="center"/>
          </w:tcPr>
          <w:p w14:paraId="6174E604">
            <w:pPr>
              <w:spacing w:after="0"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w:t>
            </w:r>
          </w:p>
        </w:tc>
        <w:tc>
          <w:tcPr>
            <w:tcW w:w="361" w:type="dxa"/>
            <w:tcBorders>
              <w:top w:val="single" w:color="auto" w:sz="4" w:space="0"/>
              <w:left w:val="single" w:color="auto" w:sz="4" w:space="0"/>
              <w:bottom w:val="single" w:color="auto" w:sz="4" w:space="0"/>
              <w:right w:val="single" w:color="auto" w:sz="4" w:space="0"/>
            </w:tcBorders>
            <w:vAlign w:val="center"/>
          </w:tcPr>
          <w:p w14:paraId="5CA8FF6B">
            <w:pPr>
              <w:spacing w:after="0"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w:t>
            </w:r>
          </w:p>
        </w:tc>
        <w:tc>
          <w:tcPr>
            <w:tcW w:w="361" w:type="dxa"/>
            <w:tcBorders>
              <w:top w:val="single" w:color="auto" w:sz="4" w:space="0"/>
              <w:left w:val="single" w:color="auto" w:sz="4" w:space="0"/>
              <w:bottom w:val="single" w:color="auto" w:sz="4" w:space="0"/>
              <w:right w:val="single" w:color="auto" w:sz="4" w:space="0"/>
            </w:tcBorders>
            <w:vAlign w:val="center"/>
          </w:tcPr>
          <w:p w14:paraId="5A5B8F26">
            <w:pPr>
              <w:spacing w:after="0"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w:t>
            </w:r>
          </w:p>
        </w:tc>
        <w:tc>
          <w:tcPr>
            <w:tcW w:w="361" w:type="dxa"/>
            <w:tcBorders>
              <w:top w:val="single" w:color="auto" w:sz="4" w:space="0"/>
              <w:left w:val="single" w:color="auto" w:sz="4" w:space="0"/>
              <w:bottom w:val="single" w:color="auto" w:sz="4" w:space="0"/>
              <w:right w:val="single" w:color="auto" w:sz="4" w:space="0"/>
            </w:tcBorders>
            <w:vAlign w:val="center"/>
          </w:tcPr>
          <w:p w14:paraId="058F987F">
            <w:pPr>
              <w:spacing w:after="0"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w:t>
            </w:r>
          </w:p>
        </w:tc>
        <w:tc>
          <w:tcPr>
            <w:tcW w:w="361" w:type="dxa"/>
            <w:tcBorders>
              <w:top w:val="single" w:color="auto" w:sz="4" w:space="0"/>
              <w:left w:val="single" w:color="auto" w:sz="4" w:space="0"/>
              <w:bottom w:val="single" w:color="auto" w:sz="4" w:space="0"/>
              <w:right w:val="single" w:color="auto" w:sz="4" w:space="0"/>
            </w:tcBorders>
            <w:vAlign w:val="center"/>
          </w:tcPr>
          <w:p w14:paraId="70DA04FE">
            <w:pPr>
              <w:spacing w:after="0"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9</w:t>
            </w:r>
          </w:p>
        </w:tc>
        <w:tc>
          <w:tcPr>
            <w:tcW w:w="439" w:type="dxa"/>
            <w:tcBorders>
              <w:top w:val="single" w:color="auto" w:sz="4" w:space="0"/>
              <w:left w:val="single" w:color="auto" w:sz="4" w:space="0"/>
              <w:bottom w:val="single" w:color="auto" w:sz="4" w:space="0"/>
              <w:right w:val="single" w:color="auto" w:sz="4" w:space="0"/>
            </w:tcBorders>
            <w:vAlign w:val="center"/>
          </w:tcPr>
          <w:p w14:paraId="76FE81B3">
            <w:pPr>
              <w:spacing w:after="0"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10</w:t>
            </w:r>
          </w:p>
        </w:tc>
        <w:tc>
          <w:tcPr>
            <w:tcW w:w="439" w:type="dxa"/>
            <w:tcBorders>
              <w:top w:val="single" w:color="auto" w:sz="4" w:space="0"/>
              <w:left w:val="single" w:color="auto" w:sz="4" w:space="0"/>
              <w:bottom w:val="single" w:color="auto" w:sz="4" w:space="0"/>
              <w:right w:val="single" w:color="auto" w:sz="4" w:space="0"/>
            </w:tcBorders>
            <w:vAlign w:val="center"/>
          </w:tcPr>
          <w:p w14:paraId="1CC2B2EE">
            <w:pPr>
              <w:spacing w:after="0"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11</w:t>
            </w:r>
          </w:p>
        </w:tc>
        <w:tc>
          <w:tcPr>
            <w:tcW w:w="439" w:type="dxa"/>
            <w:tcBorders>
              <w:top w:val="single" w:color="auto" w:sz="4" w:space="0"/>
              <w:left w:val="single" w:color="auto" w:sz="4" w:space="0"/>
              <w:bottom w:val="single" w:color="auto" w:sz="4" w:space="0"/>
              <w:right w:val="single" w:color="auto" w:sz="4" w:space="0"/>
            </w:tcBorders>
            <w:vAlign w:val="center"/>
          </w:tcPr>
          <w:p w14:paraId="74571486">
            <w:pPr>
              <w:spacing w:after="0"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12</w:t>
            </w:r>
          </w:p>
        </w:tc>
        <w:tc>
          <w:tcPr>
            <w:tcW w:w="439" w:type="dxa"/>
            <w:tcBorders>
              <w:top w:val="single" w:color="auto" w:sz="4" w:space="0"/>
              <w:left w:val="single" w:color="auto" w:sz="4" w:space="0"/>
              <w:bottom w:val="single" w:color="auto" w:sz="4" w:space="0"/>
              <w:right w:val="single" w:color="auto" w:sz="4" w:space="0"/>
            </w:tcBorders>
            <w:vAlign w:val="center"/>
          </w:tcPr>
          <w:p w14:paraId="4BBB3E22">
            <w:pPr>
              <w:spacing w:after="0"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13</w:t>
            </w:r>
          </w:p>
        </w:tc>
        <w:tc>
          <w:tcPr>
            <w:tcW w:w="439" w:type="dxa"/>
            <w:tcBorders>
              <w:top w:val="single" w:color="auto" w:sz="4" w:space="0"/>
              <w:left w:val="single" w:color="auto" w:sz="4" w:space="0"/>
              <w:bottom w:val="single" w:color="auto" w:sz="4" w:space="0"/>
              <w:right w:val="single" w:color="auto" w:sz="4" w:space="0"/>
            </w:tcBorders>
            <w:vAlign w:val="center"/>
          </w:tcPr>
          <w:p w14:paraId="694B7617">
            <w:pPr>
              <w:spacing w:after="0"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14</w:t>
            </w:r>
          </w:p>
        </w:tc>
        <w:tc>
          <w:tcPr>
            <w:tcW w:w="439" w:type="dxa"/>
            <w:tcBorders>
              <w:top w:val="single" w:color="auto" w:sz="4" w:space="0"/>
              <w:left w:val="single" w:color="auto" w:sz="4" w:space="0"/>
              <w:bottom w:val="single" w:color="auto" w:sz="4" w:space="0"/>
              <w:right w:val="single" w:color="auto" w:sz="4" w:space="0"/>
            </w:tcBorders>
            <w:vAlign w:val="center"/>
          </w:tcPr>
          <w:p w14:paraId="0EFE4519">
            <w:pPr>
              <w:spacing w:after="0"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15</w:t>
            </w:r>
          </w:p>
        </w:tc>
        <w:tc>
          <w:tcPr>
            <w:tcW w:w="439" w:type="dxa"/>
            <w:tcBorders>
              <w:top w:val="single" w:color="auto" w:sz="4" w:space="0"/>
              <w:left w:val="single" w:color="auto" w:sz="4" w:space="0"/>
              <w:bottom w:val="single" w:color="auto" w:sz="4" w:space="0"/>
              <w:right w:val="single" w:color="auto" w:sz="4" w:space="0"/>
            </w:tcBorders>
            <w:vAlign w:val="center"/>
          </w:tcPr>
          <w:p w14:paraId="4BAD8368">
            <w:pPr>
              <w:spacing w:after="0"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16</w:t>
            </w:r>
          </w:p>
        </w:tc>
        <w:tc>
          <w:tcPr>
            <w:tcW w:w="439" w:type="dxa"/>
            <w:tcBorders>
              <w:top w:val="single" w:color="auto" w:sz="4" w:space="0"/>
              <w:left w:val="single" w:color="auto" w:sz="4" w:space="0"/>
              <w:bottom w:val="single" w:color="auto" w:sz="4" w:space="0"/>
              <w:right w:val="single" w:color="auto" w:sz="4" w:space="0"/>
            </w:tcBorders>
            <w:vAlign w:val="center"/>
          </w:tcPr>
          <w:p w14:paraId="5A9716E1">
            <w:pPr>
              <w:spacing w:after="0"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17</w:t>
            </w:r>
          </w:p>
        </w:tc>
        <w:tc>
          <w:tcPr>
            <w:tcW w:w="439" w:type="dxa"/>
            <w:tcBorders>
              <w:top w:val="single" w:color="auto" w:sz="4" w:space="0"/>
              <w:left w:val="single" w:color="auto" w:sz="4" w:space="0"/>
              <w:bottom w:val="single" w:color="auto" w:sz="4" w:space="0"/>
              <w:right w:val="single" w:color="auto" w:sz="4" w:space="0"/>
            </w:tcBorders>
            <w:vAlign w:val="center"/>
          </w:tcPr>
          <w:p w14:paraId="7155975E">
            <w:pPr>
              <w:spacing w:after="0"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18</w:t>
            </w:r>
          </w:p>
        </w:tc>
        <w:tc>
          <w:tcPr>
            <w:tcW w:w="439" w:type="dxa"/>
            <w:tcBorders>
              <w:top w:val="single" w:color="auto" w:sz="4" w:space="0"/>
              <w:left w:val="single" w:color="auto" w:sz="4" w:space="0"/>
              <w:bottom w:val="single" w:color="auto" w:sz="4" w:space="0"/>
              <w:right w:val="single" w:color="auto" w:sz="4" w:space="0"/>
            </w:tcBorders>
            <w:vAlign w:val="center"/>
          </w:tcPr>
          <w:p w14:paraId="7B9CE4FC">
            <w:pPr>
              <w:spacing w:after="0"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19</w:t>
            </w:r>
          </w:p>
        </w:tc>
        <w:tc>
          <w:tcPr>
            <w:tcW w:w="439" w:type="dxa"/>
            <w:tcBorders>
              <w:top w:val="single" w:color="auto" w:sz="4" w:space="0"/>
              <w:left w:val="single" w:color="auto" w:sz="4" w:space="0"/>
              <w:bottom w:val="single" w:color="auto" w:sz="4" w:space="0"/>
              <w:right w:val="single" w:color="auto" w:sz="4" w:space="0"/>
            </w:tcBorders>
            <w:vAlign w:val="center"/>
          </w:tcPr>
          <w:p w14:paraId="4D0990DB">
            <w:pPr>
              <w:spacing w:after="0" w:line="320" w:lineRule="exact"/>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20</w:t>
            </w:r>
          </w:p>
        </w:tc>
      </w:tr>
      <w:tr w14:paraId="3E5FFA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3E5A448E">
            <w:pPr>
              <w:snapToGrid w:val="0"/>
              <w:spacing w:after="0" w:line="320" w:lineRule="exact"/>
              <w:jc w:val="center"/>
              <w:rPr>
                <w:rFonts w:ascii="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一</w:t>
            </w:r>
          </w:p>
        </w:tc>
        <w:tc>
          <w:tcPr>
            <w:tcW w:w="366" w:type="dxa"/>
            <w:tcBorders>
              <w:top w:val="single" w:color="auto" w:sz="4" w:space="0"/>
              <w:left w:val="single" w:color="auto" w:sz="4" w:space="0"/>
              <w:bottom w:val="single" w:color="auto" w:sz="4" w:space="0"/>
              <w:right w:val="single" w:color="auto" w:sz="4" w:space="0"/>
            </w:tcBorders>
            <w:vAlign w:val="center"/>
          </w:tcPr>
          <w:p w14:paraId="2804C997">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B</w:t>
            </w:r>
          </w:p>
        </w:tc>
        <w:tc>
          <w:tcPr>
            <w:tcW w:w="335" w:type="dxa"/>
            <w:tcBorders>
              <w:top w:val="single" w:color="auto" w:sz="4" w:space="0"/>
              <w:left w:val="single" w:color="auto" w:sz="4" w:space="0"/>
              <w:bottom w:val="single" w:color="auto" w:sz="4" w:space="0"/>
              <w:right w:val="single" w:color="auto" w:sz="4" w:space="0"/>
            </w:tcBorders>
            <w:vAlign w:val="center"/>
          </w:tcPr>
          <w:p w14:paraId="5AB673B4">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B</w:t>
            </w:r>
          </w:p>
        </w:tc>
        <w:tc>
          <w:tcPr>
            <w:tcW w:w="396" w:type="dxa"/>
            <w:tcBorders>
              <w:top w:val="single" w:color="auto" w:sz="4" w:space="0"/>
              <w:left w:val="single" w:color="auto" w:sz="4" w:space="0"/>
              <w:bottom w:val="single" w:color="auto" w:sz="4" w:space="0"/>
              <w:right w:val="single" w:color="auto" w:sz="4" w:space="0"/>
            </w:tcBorders>
            <w:vAlign w:val="center"/>
          </w:tcPr>
          <w:p w14:paraId="2481B608">
            <w:pPr>
              <w:spacing w:after="0" w:line="320" w:lineRule="exact"/>
              <w:jc w:val="center"/>
              <w:rPr>
                <w:rFonts w:ascii="宋体"/>
                <w:color w:val="000000" w:themeColor="text1"/>
                <w:sz w:val="18"/>
                <w:szCs w:val="18"/>
                <w14:textFill>
                  <w14:solidFill>
                    <w14:schemeClr w14:val="tx1"/>
                  </w14:solidFill>
                </w14:textFill>
              </w:rPr>
            </w:pPr>
            <w:r>
              <w:rPr>
                <w:rFonts w:hint="eastAsia" w:ascii="宋体"/>
                <w:color w:val="000000" w:themeColor="text1"/>
                <w:sz w:val="18"/>
                <w:szCs w:val="18"/>
                <w14:textFill>
                  <w14:solidFill>
                    <w14:schemeClr w14:val="tx1"/>
                  </w14:solidFill>
                </w14:textFill>
              </w:rPr>
              <w:t>A</w:t>
            </w:r>
          </w:p>
        </w:tc>
        <w:tc>
          <w:tcPr>
            <w:tcW w:w="365" w:type="dxa"/>
            <w:tcBorders>
              <w:top w:val="single" w:color="auto" w:sz="4" w:space="0"/>
              <w:left w:val="single" w:color="auto" w:sz="4" w:space="0"/>
              <w:bottom w:val="single" w:color="auto" w:sz="4" w:space="0"/>
              <w:right w:val="single" w:color="auto" w:sz="4" w:space="0"/>
            </w:tcBorders>
            <w:vAlign w:val="center"/>
          </w:tcPr>
          <w:p w14:paraId="1F310B21">
            <w:pPr>
              <w:spacing w:after="0" w:line="320" w:lineRule="exact"/>
              <w:jc w:val="center"/>
              <w:rPr>
                <w:rFonts w:ascii="宋体"/>
                <w:color w:val="000000" w:themeColor="text1"/>
                <w:sz w:val="18"/>
                <w:szCs w:val="18"/>
                <w14:textFill>
                  <w14:solidFill>
                    <w14:schemeClr w14:val="tx1"/>
                  </w14:solidFill>
                </w14:textFill>
              </w:rPr>
            </w:pPr>
            <w:r>
              <w:rPr>
                <w:rFonts w:hint="eastAsia" w:ascii="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3784A9A3">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776C91FA">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1B2913C4">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11E80811">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0D8A410E">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0BEE7780">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566B32EE">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698DAE99">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7B701120">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154DE7E5">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68C60BFD">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10C6D3E9">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36BC53CF">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71E7EE95">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69B8C7C8">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D</w:t>
            </w:r>
          </w:p>
        </w:tc>
        <w:tc>
          <w:tcPr>
            <w:tcW w:w="439" w:type="dxa"/>
            <w:tcBorders>
              <w:top w:val="single" w:color="auto" w:sz="4" w:space="0"/>
              <w:left w:val="single" w:color="auto" w:sz="4" w:space="0"/>
              <w:bottom w:val="single" w:color="auto" w:sz="4" w:space="0"/>
              <w:right w:val="single" w:color="auto" w:sz="4" w:space="0"/>
            </w:tcBorders>
            <w:vAlign w:val="center"/>
          </w:tcPr>
          <w:p w14:paraId="70D53505">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D</w:t>
            </w:r>
          </w:p>
        </w:tc>
      </w:tr>
      <w:tr w14:paraId="224974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030E5A43">
            <w:pPr>
              <w:snapToGrid w:val="0"/>
              <w:spacing w:after="0" w:line="320" w:lineRule="exact"/>
              <w:jc w:val="center"/>
              <w:rPr>
                <w:rFonts w:ascii="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二</w:t>
            </w:r>
          </w:p>
        </w:tc>
        <w:tc>
          <w:tcPr>
            <w:tcW w:w="366" w:type="dxa"/>
            <w:tcBorders>
              <w:top w:val="single" w:color="auto" w:sz="4" w:space="0"/>
              <w:left w:val="single" w:color="auto" w:sz="4" w:space="0"/>
              <w:bottom w:val="single" w:color="auto" w:sz="4" w:space="0"/>
              <w:right w:val="single" w:color="auto" w:sz="4" w:space="0"/>
            </w:tcBorders>
            <w:vAlign w:val="center"/>
          </w:tcPr>
          <w:p w14:paraId="58A966C0">
            <w:pPr>
              <w:spacing w:after="0" w:line="320" w:lineRule="exact"/>
              <w:jc w:val="center"/>
              <w:rPr>
                <w:rFonts w:ascii="宋体"/>
                <w:b/>
                <w:bCs/>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35" w:type="dxa"/>
            <w:tcBorders>
              <w:top w:val="single" w:color="auto" w:sz="4" w:space="0"/>
              <w:left w:val="single" w:color="auto" w:sz="4" w:space="0"/>
              <w:bottom w:val="single" w:color="auto" w:sz="4" w:space="0"/>
              <w:right w:val="single" w:color="auto" w:sz="4" w:space="0"/>
            </w:tcBorders>
            <w:vAlign w:val="center"/>
          </w:tcPr>
          <w:p w14:paraId="75D7A63F">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96" w:type="dxa"/>
            <w:tcBorders>
              <w:top w:val="single" w:color="auto" w:sz="4" w:space="0"/>
              <w:left w:val="single" w:color="auto" w:sz="4" w:space="0"/>
              <w:bottom w:val="single" w:color="auto" w:sz="4" w:space="0"/>
              <w:right w:val="single" w:color="auto" w:sz="4" w:space="0"/>
            </w:tcBorders>
            <w:vAlign w:val="center"/>
          </w:tcPr>
          <w:p w14:paraId="6D11AF34">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5" w:type="dxa"/>
            <w:tcBorders>
              <w:top w:val="single" w:color="auto" w:sz="4" w:space="0"/>
              <w:left w:val="single" w:color="auto" w:sz="4" w:space="0"/>
              <w:bottom w:val="single" w:color="auto" w:sz="4" w:space="0"/>
              <w:right w:val="single" w:color="auto" w:sz="4" w:space="0"/>
            </w:tcBorders>
            <w:vAlign w:val="center"/>
          </w:tcPr>
          <w:p w14:paraId="5A7B4285">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45B3C00F">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1BDBCDD4">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5A73F157">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2CFE80B5">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3A9C5B06">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1B5CC2A8">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50A479D4">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50E288D7">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1DA87D3E">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63D984E5">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2ACC2913">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7550763F">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2AD53F81">
            <w:pPr>
              <w:spacing w:after="0" w:line="320" w:lineRule="exact"/>
              <w:jc w:val="center"/>
              <w:rPr>
                <w:rFonts w:ascii="宋体"/>
                <w:b/>
                <w:bCs/>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51F21200">
            <w:pPr>
              <w:spacing w:after="0" w:line="320" w:lineRule="exact"/>
              <w:jc w:val="center"/>
              <w:rPr>
                <w:rFonts w:ascii="宋体"/>
                <w:b/>
                <w:bCs/>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4EA9778B">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D</w:t>
            </w:r>
          </w:p>
        </w:tc>
        <w:tc>
          <w:tcPr>
            <w:tcW w:w="439" w:type="dxa"/>
            <w:tcBorders>
              <w:top w:val="single" w:color="auto" w:sz="4" w:space="0"/>
              <w:left w:val="single" w:color="auto" w:sz="4" w:space="0"/>
              <w:bottom w:val="single" w:color="auto" w:sz="4" w:space="0"/>
              <w:right w:val="single" w:color="auto" w:sz="4" w:space="0"/>
            </w:tcBorders>
            <w:vAlign w:val="center"/>
          </w:tcPr>
          <w:p w14:paraId="565BFEC3">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D</w:t>
            </w:r>
          </w:p>
        </w:tc>
      </w:tr>
      <w:tr w14:paraId="4B9D9E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77178C20">
            <w:pPr>
              <w:snapToGrid w:val="0"/>
              <w:spacing w:after="0" w:line="320" w:lineRule="exact"/>
              <w:jc w:val="center"/>
              <w:rPr>
                <w:rFonts w:ascii="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三</w:t>
            </w:r>
          </w:p>
        </w:tc>
        <w:tc>
          <w:tcPr>
            <w:tcW w:w="366" w:type="dxa"/>
            <w:tcBorders>
              <w:top w:val="single" w:color="auto" w:sz="4" w:space="0"/>
              <w:left w:val="single" w:color="auto" w:sz="4" w:space="0"/>
              <w:bottom w:val="single" w:color="auto" w:sz="4" w:space="0"/>
              <w:right w:val="single" w:color="auto" w:sz="4" w:space="0"/>
            </w:tcBorders>
            <w:vAlign w:val="center"/>
          </w:tcPr>
          <w:p w14:paraId="5D679445">
            <w:pPr>
              <w:spacing w:after="0" w:line="320" w:lineRule="exact"/>
              <w:jc w:val="center"/>
              <w:rPr>
                <w:rFonts w:ascii="宋体"/>
                <w:b/>
                <w:bCs/>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35" w:type="dxa"/>
            <w:tcBorders>
              <w:top w:val="single" w:color="auto" w:sz="4" w:space="0"/>
              <w:left w:val="single" w:color="auto" w:sz="4" w:space="0"/>
              <w:bottom w:val="single" w:color="auto" w:sz="4" w:space="0"/>
              <w:right w:val="single" w:color="auto" w:sz="4" w:space="0"/>
            </w:tcBorders>
            <w:vAlign w:val="center"/>
          </w:tcPr>
          <w:p w14:paraId="69B00397">
            <w:pPr>
              <w:spacing w:after="0" w:line="320" w:lineRule="exact"/>
              <w:jc w:val="center"/>
              <w:rPr>
                <w:rFonts w:ascii="宋体"/>
                <w:b/>
                <w:bCs/>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96" w:type="dxa"/>
            <w:tcBorders>
              <w:top w:val="single" w:color="auto" w:sz="4" w:space="0"/>
              <w:left w:val="single" w:color="auto" w:sz="4" w:space="0"/>
              <w:bottom w:val="single" w:color="auto" w:sz="4" w:space="0"/>
              <w:right w:val="single" w:color="auto" w:sz="4" w:space="0"/>
            </w:tcBorders>
            <w:vAlign w:val="center"/>
          </w:tcPr>
          <w:p w14:paraId="2086A09C">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5" w:type="dxa"/>
            <w:tcBorders>
              <w:top w:val="single" w:color="auto" w:sz="4" w:space="0"/>
              <w:left w:val="single" w:color="auto" w:sz="4" w:space="0"/>
              <w:bottom w:val="single" w:color="auto" w:sz="4" w:space="0"/>
              <w:right w:val="single" w:color="auto" w:sz="4" w:space="0"/>
            </w:tcBorders>
            <w:vAlign w:val="center"/>
          </w:tcPr>
          <w:p w14:paraId="67CC3199">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1F97ABE0">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18A97C6E">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39174973">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4D69912D">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65F3415D">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401F7AB5">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12B33724">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00571B33">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28BB3311">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30A2EE37">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75999070">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1F471E70">
            <w:pPr>
              <w:spacing w:after="0" w:line="320" w:lineRule="exact"/>
              <w:jc w:val="center"/>
              <w:rPr>
                <w:rFonts w:ascii="宋体"/>
                <w:b/>
                <w:bCs/>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06676B02">
            <w:pPr>
              <w:spacing w:after="0" w:line="320" w:lineRule="exact"/>
              <w:jc w:val="center"/>
              <w:rPr>
                <w:rFonts w:ascii="宋体"/>
                <w:color w:val="000000" w:themeColor="text1"/>
                <w:sz w:val="18"/>
                <w:szCs w:val="18"/>
                <w14:textFill>
                  <w14:solidFill>
                    <w14:schemeClr w14:val="tx1"/>
                  </w14:solidFill>
                </w14:textFill>
              </w:rPr>
            </w:pPr>
            <w:r>
              <w:rPr>
                <w:rFonts w:hint="eastAsia" w:ascii="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4880E7AB">
            <w:pPr>
              <w:snapToGrid w:val="0"/>
              <w:spacing w:after="0" w:line="320" w:lineRule="exact"/>
              <w:jc w:val="center"/>
              <w:rPr>
                <w:rFonts w:ascii="宋体"/>
                <w:color w:val="000000" w:themeColor="text1"/>
                <w:sz w:val="18"/>
                <w:szCs w:val="18"/>
                <w14:textFill>
                  <w14:solidFill>
                    <w14:schemeClr w14:val="tx1"/>
                  </w14:solidFill>
                </w14:textFill>
              </w:rPr>
            </w:pPr>
            <w:r>
              <w:rPr>
                <w:rFonts w:hint="eastAsia" w:ascii="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144470F4">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D</w:t>
            </w:r>
          </w:p>
        </w:tc>
        <w:tc>
          <w:tcPr>
            <w:tcW w:w="439" w:type="dxa"/>
            <w:tcBorders>
              <w:top w:val="single" w:color="auto" w:sz="4" w:space="0"/>
              <w:left w:val="single" w:color="auto" w:sz="4" w:space="0"/>
              <w:bottom w:val="single" w:color="auto" w:sz="4" w:space="0"/>
              <w:right w:val="single" w:color="auto" w:sz="4" w:space="0"/>
            </w:tcBorders>
            <w:vAlign w:val="center"/>
          </w:tcPr>
          <w:p w14:paraId="20ADEE59">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D</w:t>
            </w:r>
          </w:p>
        </w:tc>
      </w:tr>
      <w:tr w14:paraId="77668A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78D784D8">
            <w:pPr>
              <w:snapToGrid w:val="0"/>
              <w:spacing w:after="0" w:line="320" w:lineRule="exact"/>
              <w:jc w:val="center"/>
              <w:rPr>
                <w:rFonts w:ascii="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四</w:t>
            </w:r>
          </w:p>
        </w:tc>
        <w:tc>
          <w:tcPr>
            <w:tcW w:w="366" w:type="dxa"/>
            <w:tcBorders>
              <w:top w:val="single" w:color="auto" w:sz="4" w:space="0"/>
              <w:left w:val="single" w:color="auto" w:sz="4" w:space="0"/>
              <w:bottom w:val="single" w:color="auto" w:sz="4" w:space="0"/>
              <w:right w:val="single" w:color="auto" w:sz="4" w:space="0"/>
            </w:tcBorders>
            <w:vAlign w:val="center"/>
          </w:tcPr>
          <w:p w14:paraId="7F105092">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35" w:type="dxa"/>
            <w:tcBorders>
              <w:top w:val="single" w:color="auto" w:sz="4" w:space="0"/>
              <w:left w:val="single" w:color="auto" w:sz="4" w:space="0"/>
              <w:bottom w:val="single" w:color="auto" w:sz="4" w:space="0"/>
              <w:right w:val="single" w:color="auto" w:sz="4" w:space="0"/>
            </w:tcBorders>
            <w:vAlign w:val="center"/>
          </w:tcPr>
          <w:p w14:paraId="2FEFE5DB">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96" w:type="dxa"/>
            <w:tcBorders>
              <w:top w:val="single" w:color="auto" w:sz="4" w:space="0"/>
              <w:left w:val="single" w:color="auto" w:sz="4" w:space="0"/>
              <w:bottom w:val="single" w:color="auto" w:sz="4" w:space="0"/>
              <w:right w:val="single" w:color="auto" w:sz="4" w:space="0"/>
            </w:tcBorders>
            <w:vAlign w:val="center"/>
          </w:tcPr>
          <w:p w14:paraId="2151BCEE">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5" w:type="dxa"/>
            <w:tcBorders>
              <w:top w:val="single" w:color="auto" w:sz="4" w:space="0"/>
              <w:left w:val="single" w:color="auto" w:sz="4" w:space="0"/>
              <w:bottom w:val="single" w:color="auto" w:sz="4" w:space="0"/>
              <w:right w:val="single" w:color="auto" w:sz="4" w:space="0"/>
            </w:tcBorders>
            <w:vAlign w:val="center"/>
          </w:tcPr>
          <w:p w14:paraId="57C9BD0B">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71662CE1">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77D4A46D">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33B4F0FF">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3F8E22CE">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4ADA0D34">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2A3971F6">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78D5BDAF">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3ADAE22E">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7A23BF12">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486616DD">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0F8809E9">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70F0D927">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62C79F22">
            <w:pPr>
              <w:spacing w:after="0" w:line="320" w:lineRule="exact"/>
              <w:jc w:val="center"/>
              <w:rPr>
                <w:rFonts w:ascii="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1F30BFD5">
            <w:pPr>
              <w:snapToGrid w:val="0"/>
              <w:spacing w:after="0" w:line="320" w:lineRule="exact"/>
              <w:jc w:val="center"/>
              <w:rPr>
                <w:rFonts w:ascii="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2C3C181C">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D</w:t>
            </w:r>
          </w:p>
        </w:tc>
        <w:tc>
          <w:tcPr>
            <w:tcW w:w="439" w:type="dxa"/>
            <w:tcBorders>
              <w:top w:val="single" w:color="auto" w:sz="4" w:space="0"/>
              <w:left w:val="single" w:color="auto" w:sz="4" w:space="0"/>
              <w:bottom w:val="single" w:color="auto" w:sz="4" w:space="0"/>
              <w:right w:val="single" w:color="auto" w:sz="4" w:space="0"/>
            </w:tcBorders>
            <w:vAlign w:val="center"/>
          </w:tcPr>
          <w:p w14:paraId="1875B9D3">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D</w:t>
            </w:r>
          </w:p>
        </w:tc>
      </w:tr>
      <w:tr w14:paraId="2E9EDE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33D6691A">
            <w:pPr>
              <w:snapToGrid w:val="0"/>
              <w:spacing w:after="0" w:line="320" w:lineRule="exact"/>
              <w:jc w:val="center"/>
              <w:rPr>
                <w:rFonts w:ascii="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五</w:t>
            </w:r>
          </w:p>
        </w:tc>
        <w:tc>
          <w:tcPr>
            <w:tcW w:w="366" w:type="dxa"/>
            <w:tcBorders>
              <w:top w:val="single" w:color="auto" w:sz="4" w:space="0"/>
              <w:left w:val="single" w:color="auto" w:sz="4" w:space="0"/>
              <w:bottom w:val="single" w:color="auto" w:sz="4" w:space="0"/>
              <w:right w:val="single" w:color="auto" w:sz="4" w:space="0"/>
            </w:tcBorders>
            <w:vAlign w:val="center"/>
          </w:tcPr>
          <w:p w14:paraId="438ACC28">
            <w:pPr>
              <w:snapToGrid w:val="0"/>
              <w:spacing w:after="0" w:line="320" w:lineRule="exact"/>
              <w:jc w:val="center"/>
              <w:rPr>
                <w:rFonts w:ascii="宋体"/>
                <w:b/>
                <w:bCs/>
                <w:sz w:val="18"/>
                <w:szCs w:val="18"/>
              </w:rPr>
            </w:pPr>
            <w:r>
              <w:rPr>
                <w:rFonts w:hint="eastAsia" w:ascii="宋体" w:hAnsi="宋体" w:cs="宋体"/>
                <w:sz w:val="18"/>
                <w:szCs w:val="18"/>
              </w:rPr>
              <w:t>C</w:t>
            </w:r>
          </w:p>
        </w:tc>
        <w:tc>
          <w:tcPr>
            <w:tcW w:w="335" w:type="dxa"/>
            <w:tcBorders>
              <w:top w:val="single" w:color="auto" w:sz="4" w:space="0"/>
              <w:left w:val="single" w:color="auto" w:sz="4" w:space="0"/>
              <w:bottom w:val="single" w:color="auto" w:sz="4" w:space="0"/>
              <w:right w:val="single" w:color="auto" w:sz="4" w:space="0"/>
            </w:tcBorders>
            <w:vAlign w:val="center"/>
          </w:tcPr>
          <w:p w14:paraId="3EC6FFD6">
            <w:pPr>
              <w:snapToGrid w:val="0"/>
              <w:spacing w:after="0" w:line="320" w:lineRule="exact"/>
              <w:jc w:val="center"/>
              <w:rPr>
                <w:rFonts w:ascii="宋体"/>
                <w:sz w:val="18"/>
                <w:szCs w:val="18"/>
              </w:rPr>
            </w:pPr>
            <w:r>
              <w:rPr>
                <w:rFonts w:hint="eastAsia" w:ascii="宋体" w:hAnsi="宋体" w:cs="宋体"/>
                <w:sz w:val="18"/>
                <w:szCs w:val="18"/>
              </w:rPr>
              <w:t>C</w:t>
            </w:r>
          </w:p>
        </w:tc>
        <w:tc>
          <w:tcPr>
            <w:tcW w:w="396" w:type="dxa"/>
            <w:tcBorders>
              <w:top w:val="single" w:color="auto" w:sz="4" w:space="0"/>
              <w:left w:val="single" w:color="auto" w:sz="4" w:space="0"/>
              <w:bottom w:val="single" w:color="auto" w:sz="4" w:space="0"/>
              <w:right w:val="single" w:color="auto" w:sz="4" w:space="0"/>
            </w:tcBorders>
            <w:vAlign w:val="center"/>
          </w:tcPr>
          <w:p w14:paraId="73517E65">
            <w:pPr>
              <w:spacing w:after="0" w:line="320" w:lineRule="exact"/>
              <w:jc w:val="center"/>
              <w:rPr>
                <w:rFonts w:ascii="宋体"/>
                <w:sz w:val="18"/>
                <w:szCs w:val="18"/>
              </w:rPr>
            </w:pPr>
            <w:r>
              <w:rPr>
                <w:rFonts w:hint="eastAsia" w:ascii="宋体" w:hAnsi="宋体" w:cs="宋体"/>
                <w:sz w:val="18"/>
                <w:szCs w:val="18"/>
              </w:rPr>
              <w:t>C</w:t>
            </w:r>
          </w:p>
        </w:tc>
        <w:tc>
          <w:tcPr>
            <w:tcW w:w="365" w:type="dxa"/>
            <w:tcBorders>
              <w:top w:val="single" w:color="auto" w:sz="4" w:space="0"/>
              <w:left w:val="single" w:color="auto" w:sz="4" w:space="0"/>
              <w:bottom w:val="single" w:color="auto" w:sz="4" w:space="0"/>
              <w:right w:val="single" w:color="auto" w:sz="4" w:space="0"/>
            </w:tcBorders>
            <w:vAlign w:val="center"/>
          </w:tcPr>
          <w:p w14:paraId="186AD7BD">
            <w:pPr>
              <w:spacing w:after="0" w:line="320" w:lineRule="exact"/>
              <w:jc w:val="center"/>
              <w:rPr>
                <w:rFonts w:ascii="宋体"/>
                <w:sz w:val="18"/>
                <w:szCs w:val="18"/>
              </w:rPr>
            </w:pPr>
            <w:r>
              <w:rPr>
                <w:rFonts w:hint="eastAsia" w:ascii="宋体" w:hAnsi="宋体" w:cs="宋体"/>
                <w:sz w:val="18"/>
                <w:szCs w:val="18"/>
              </w:rPr>
              <w:t>C</w:t>
            </w:r>
          </w:p>
        </w:tc>
        <w:tc>
          <w:tcPr>
            <w:tcW w:w="361" w:type="dxa"/>
            <w:tcBorders>
              <w:top w:val="single" w:color="auto" w:sz="4" w:space="0"/>
              <w:left w:val="single" w:color="auto" w:sz="4" w:space="0"/>
              <w:bottom w:val="single" w:color="auto" w:sz="4" w:space="0"/>
              <w:right w:val="single" w:color="auto" w:sz="4" w:space="0"/>
            </w:tcBorders>
            <w:vAlign w:val="center"/>
          </w:tcPr>
          <w:p w14:paraId="55E328A1">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069A8075">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703EC56B">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33288D90">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35CB922C">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5DB3790D">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4937C41C">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7B6B3E95">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5C4CE738">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0D4F2A63">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3119BFAE">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43DB3407">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4B67C4C3">
            <w:pPr>
              <w:spacing w:after="0" w:line="320" w:lineRule="exact"/>
              <w:jc w:val="center"/>
              <w:rPr>
                <w:rFonts w:ascii="宋体"/>
                <w:b/>
                <w:bCs/>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66F44CF9">
            <w:pPr>
              <w:spacing w:after="0" w:line="320" w:lineRule="exact"/>
              <w:jc w:val="center"/>
              <w:rPr>
                <w:rFonts w:ascii="宋体"/>
                <w:b/>
                <w:bCs/>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4539C805">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D</w:t>
            </w:r>
          </w:p>
        </w:tc>
        <w:tc>
          <w:tcPr>
            <w:tcW w:w="439" w:type="dxa"/>
            <w:tcBorders>
              <w:top w:val="single" w:color="auto" w:sz="4" w:space="0"/>
              <w:left w:val="single" w:color="auto" w:sz="4" w:space="0"/>
              <w:bottom w:val="single" w:color="auto" w:sz="4" w:space="0"/>
              <w:right w:val="single" w:color="auto" w:sz="4" w:space="0"/>
            </w:tcBorders>
            <w:vAlign w:val="center"/>
          </w:tcPr>
          <w:p w14:paraId="54BB404E">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D</w:t>
            </w:r>
          </w:p>
        </w:tc>
      </w:tr>
      <w:tr w14:paraId="5AF77A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1FB8AFC0">
            <w:pPr>
              <w:snapToGrid w:val="0"/>
              <w:spacing w:after="0" w:line="320" w:lineRule="exact"/>
              <w:jc w:val="center"/>
              <w:rPr>
                <w:rFonts w:ascii="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六</w:t>
            </w:r>
          </w:p>
        </w:tc>
        <w:tc>
          <w:tcPr>
            <w:tcW w:w="366" w:type="dxa"/>
            <w:tcBorders>
              <w:top w:val="single" w:color="auto" w:sz="4" w:space="0"/>
              <w:left w:val="single" w:color="auto" w:sz="4" w:space="0"/>
              <w:bottom w:val="single" w:color="auto" w:sz="4" w:space="0"/>
              <w:right w:val="single" w:color="auto" w:sz="4" w:space="0"/>
            </w:tcBorders>
            <w:vAlign w:val="center"/>
          </w:tcPr>
          <w:p w14:paraId="0B3B203C">
            <w:pPr>
              <w:spacing w:after="0" w:line="320" w:lineRule="exact"/>
              <w:jc w:val="center"/>
              <w:rPr>
                <w:rFonts w:ascii="宋体"/>
                <w:b/>
                <w:bCs/>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35" w:type="dxa"/>
            <w:tcBorders>
              <w:top w:val="single" w:color="auto" w:sz="4" w:space="0"/>
              <w:left w:val="single" w:color="auto" w:sz="4" w:space="0"/>
              <w:bottom w:val="single" w:color="auto" w:sz="4" w:space="0"/>
              <w:right w:val="single" w:color="auto" w:sz="4" w:space="0"/>
            </w:tcBorders>
            <w:vAlign w:val="center"/>
          </w:tcPr>
          <w:p w14:paraId="76505C36">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96" w:type="dxa"/>
            <w:tcBorders>
              <w:top w:val="single" w:color="auto" w:sz="4" w:space="0"/>
              <w:left w:val="single" w:color="auto" w:sz="4" w:space="0"/>
              <w:bottom w:val="single" w:color="auto" w:sz="4" w:space="0"/>
              <w:right w:val="single" w:color="auto" w:sz="4" w:space="0"/>
            </w:tcBorders>
            <w:vAlign w:val="center"/>
          </w:tcPr>
          <w:p w14:paraId="03EE6939">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5" w:type="dxa"/>
            <w:tcBorders>
              <w:top w:val="single" w:color="auto" w:sz="4" w:space="0"/>
              <w:left w:val="single" w:color="auto" w:sz="4" w:space="0"/>
              <w:bottom w:val="single" w:color="auto" w:sz="4" w:space="0"/>
              <w:right w:val="single" w:color="auto" w:sz="4" w:space="0"/>
            </w:tcBorders>
            <w:vAlign w:val="center"/>
          </w:tcPr>
          <w:p w14:paraId="6C476EDF">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0B753F93">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2C14A6DF">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2F5282E4">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0B74426B">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0624B155">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48B3AEAB">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3040B714">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3DBC55C1">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7D329EA2">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19FC9EAC">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0B5FDCAB">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77A137BA">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7EE3CFD4">
            <w:pPr>
              <w:spacing w:after="0" w:line="320" w:lineRule="exact"/>
              <w:jc w:val="center"/>
              <w:rPr>
                <w:rFonts w:ascii="宋体"/>
                <w:b/>
                <w:bCs/>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04A90290">
            <w:pPr>
              <w:spacing w:after="0" w:line="320" w:lineRule="exact"/>
              <w:jc w:val="center"/>
              <w:rPr>
                <w:rFonts w:ascii="宋体"/>
                <w:b/>
                <w:bCs/>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62D3FC3E">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D</w:t>
            </w:r>
          </w:p>
        </w:tc>
        <w:tc>
          <w:tcPr>
            <w:tcW w:w="439" w:type="dxa"/>
            <w:tcBorders>
              <w:top w:val="single" w:color="auto" w:sz="4" w:space="0"/>
              <w:left w:val="single" w:color="auto" w:sz="4" w:space="0"/>
              <w:bottom w:val="single" w:color="auto" w:sz="4" w:space="0"/>
              <w:right w:val="single" w:color="auto" w:sz="4" w:space="0"/>
            </w:tcBorders>
            <w:vAlign w:val="center"/>
          </w:tcPr>
          <w:p w14:paraId="7980BD9F">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D</w:t>
            </w:r>
          </w:p>
        </w:tc>
      </w:tr>
      <w:tr w14:paraId="0E27C2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6325E59D">
            <w:pPr>
              <w:snapToGrid w:val="0"/>
              <w:spacing w:after="0" w:line="320" w:lineRule="exact"/>
              <w:jc w:val="center"/>
              <w:rPr>
                <w:rFonts w:ascii="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七</w:t>
            </w:r>
          </w:p>
        </w:tc>
        <w:tc>
          <w:tcPr>
            <w:tcW w:w="366" w:type="dxa"/>
            <w:tcBorders>
              <w:top w:val="single" w:color="auto" w:sz="4" w:space="0"/>
              <w:left w:val="single" w:color="auto" w:sz="4" w:space="0"/>
              <w:bottom w:val="single" w:color="auto" w:sz="4" w:space="0"/>
              <w:right w:val="single" w:color="auto" w:sz="4" w:space="0"/>
            </w:tcBorders>
            <w:vAlign w:val="center"/>
          </w:tcPr>
          <w:p w14:paraId="3FE6A92D">
            <w:pPr>
              <w:spacing w:after="0" w:line="320" w:lineRule="exact"/>
              <w:jc w:val="center"/>
              <w:rPr>
                <w:rFonts w:ascii="宋体"/>
                <w:b/>
                <w:bCs/>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35" w:type="dxa"/>
            <w:tcBorders>
              <w:top w:val="single" w:color="auto" w:sz="4" w:space="0"/>
              <w:left w:val="single" w:color="auto" w:sz="4" w:space="0"/>
              <w:bottom w:val="single" w:color="auto" w:sz="4" w:space="0"/>
              <w:right w:val="single" w:color="auto" w:sz="4" w:space="0"/>
            </w:tcBorders>
            <w:vAlign w:val="center"/>
          </w:tcPr>
          <w:p w14:paraId="0EF507D4">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96" w:type="dxa"/>
            <w:tcBorders>
              <w:top w:val="single" w:color="auto" w:sz="4" w:space="0"/>
              <w:left w:val="single" w:color="auto" w:sz="4" w:space="0"/>
              <w:bottom w:val="single" w:color="auto" w:sz="4" w:space="0"/>
              <w:right w:val="single" w:color="auto" w:sz="4" w:space="0"/>
            </w:tcBorders>
            <w:vAlign w:val="center"/>
          </w:tcPr>
          <w:p w14:paraId="693A19BE">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5" w:type="dxa"/>
            <w:tcBorders>
              <w:top w:val="single" w:color="auto" w:sz="4" w:space="0"/>
              <w:left w:val="single" w:color="auto" w:sz="4" w:space="0"/>
              <w:bottom w:val="single" w:color="auto" w:sz="4" w:space="0"/>
              <w:right w:val="single" w:color="auto" w:sz="4" w:space="0"/>
            </w:tcBorders>
            <w:vAlign w:val="center"/>
          </w:tcPr>
          <w:p w14:paraId="74FA8408">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49A82A55">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536CC96F">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0F7876E7">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1B762BA6">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1F754DD5">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7237A5A4">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5BDA666F">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649892DA">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4C46AFED">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4ED8052B">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504B15F1">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6B9597CA">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64ED0708">
            <w:pPr>
              <w:spacing w:after="0" w:line="320" w:lineRule="exact"/>
              <w:jc w:val="center"/>
              <w:rPr>
                <w:rFonts w:ascii="宋体"/>
                <w:b/>
                <w:bCs/>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7433B869">
            <w:pPr>
              <w:spacing w:after="0" w:line="320" w:lineRule="exact"/>
              <w:jc w:val="center"/>
              <w:rPr>
                <w:rFonts w:ascii="宋体"/>
                <w:b/>
                <w:bCs/>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7F3693AB">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D</w:t>
            </w:r>
          </w:p>
        </w:tc>
        <w:tc>
          <w:tcPr>
            <w:tcW w:w="439" w:type="dxa"/>
            <w:tcBorders>
              <w:top w:val="single" w:color="auto" w:sz="4" w:space="0"/>
              <w:left w:val="single" w:color="auto" w:sz="4" w:space="0"/>
              <w:bottom w:val="single" w:color="auto" w:sz="4" w:space="0"/>
              <w:right w:val="single" w:color="auto" w:sz="4" w:space="0"/>
            </w:tcBorders>
            <w:vAlign w:val="center"/>
          </w:tcPr>
          <w:p w14:paraId="6BCC0D51">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D</w:t>
            </w:r>
          </w:p>
        </w:tc>
      </w:tr>
      <w:tr w14:paraId="5B3EE2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265F8B3E">
            <w:pPr>
              <w:snapToGrid w:val="0"/>
              <w:spacing w:after="0" w:line="320" w:lineRule="exact"/>
              <w:jc w:val="center"/>
              <w:rPr>
                <w:rFonts w:ascii="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八</w:t>
            </w:r>
          </w:p>
        </w:tc>
        <w:tc>
          <w:tcPr>
            <w:tcW w:w="366" w:type="dxa"/>
            <w:tcBorders>
              <w:top w:val="single" w:color="auto" w:sz="4" w:space="0"/>
              <w:left w:val="single" w:color="auto" w:sz="4" w:space="0"/>
              <w:bottom w:val="single" w:color="auto" w:sz="4" w:space="0"/>
              <w:right w:val="single" w:color="auto" w:sz="4" w:space="0"/>
            </w:tcBorders>
            <w:vAlign w:val="center"/>
          </w:tcPr>
          <w:p w14:paraId="3A6D9234">
            <w:pPr>
              <w:spacing w:after="0" w:line="320" w:lineRule="exact"/>
              <w:jc w:val="center"/>
              <w:rPr>
                <w:rFonts w:ascii="宋体"/>
                <w:b/>
                <w:bCs/>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35" w:type="dxa"/>
            <w:tcBorders>
              <w:top w:val="single" w:color="auto" w:sz="4" w:space="0"/>
              <w:left w:val="single" w:color="auto" w:sz="4" w:space="0"/>
              <w:bottom w:val="single" w:color="auto" w:sz="4" w:space="0"/>
              <w:right w:val="single" w:color="auto" w:sz="4" w:space="0"/>
            </w:tcBorders>
            <w:vAlign w:val="center"/>
          </w:tcPr>
          <w:p w14:paraId="188EB613">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96" w:type="dxa"/>
            <w:tcBorders>
              <w:top w:val="single" w:color="auto" w:sz="4" w:space="0"/>
              <w:left w:val="single" w:color="auto" w:sz="4" w:space="0"/>
              <w:bottom w:val="single" w:color="auto" w:sz="4" w:space="0"/>
              <w:right w:val="single" w:color="auto" w:sz="4" w:space="0"/>
            </w:tcBorders>
            <w:vAlign w:val="center"/>
          </w:tcPr>
          <w:p w14:paraId="35EBC0EF">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5" w:type="dxa"/>
            <w:tcBorders>
              <w:top w:val="single" w:color="auto" w:sz="4" w:space="0"/>
              <w:left w:val="single" w:color="auto" w:sz="4" w:space="0"/>
              <w:bottom w:val="single" w:color="auto" w:sz="4" w:space="0"/>
              <w:right w:val="single" w:color="auto" w:sz="4" w:space="0"/>
            </w:tcBorders>
            <w:vAlign w:val="center"/>
          </w:tcPr>
          <w:p w14:paraId="305555FC">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54D0711F">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5B90A487">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5704A8F5">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68D297A4">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72106A35">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7AC76837">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4EF5F4A6">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4CB76915">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3347303C">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4D122CF6">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4D53B7ED">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1FC3E1C8">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439" w:type="dxa"/>
            <w:tcBorders>
              <w:top w:val="single" w:color="auto" w:sz="4" w:space="0"/>
              <w:left w:val="single" w:color="auto" w:sz="4" w:space="0"/>
              <w:bottom w:val="single" w:color="auto" w:sz="4" w:space="0"/>
              <w:right w:val="single" w:color="auto" w:sz="4" w:space="0"/>
            </w:tcBorders>
            <w:vAlign w:val="center"/>
          </w:tcPr>
          <w:p w14:paraId="38B9719A">
            <w:pPr>
              <w:spacing w:after="0" w:line="320" w:lineRule="exact"/>
              <w:jc w:val="center"/>
              <w:rPr>
                <w:rFonts w:ascii="宋体"/>
                <w:b/>
                <w:bCs/>
                <w:sz w:val="18"/>
                <w:szCs w:val="18"/>
              </w:rPr>
            </w:pPr>
            <w:r>
              <w:rPr>
                <w:rFonts w:hint="eastAsia" w:ascii="宋体" w:hAnsi="宋体" w:cs="宋体"/>
                <w:sz w:val="18"/>
                <w:szCs w:val="18"/>
              </w:rPr>
              <w:t>C</w:t>
            </w:r>
          </w:p>
        </w:tc>
        <w:tc>
          <w:tcPr>
            <w:tcW w:w="439" w:type="dxa"/>
            <w:tcBorders>
              <w:top w:val="single" w:color="auto" w:sz="4" w:space="0"/>
              <w:left w:val="single" w:color="auto" w:sz="4" w:space="0"/>
              <w:bottom w:val="single" w:color="auto" w:sz="4" w:space="0"/>
              <w:right w:val="single" w:color="auto" w:sz="4" w:space="0"/>
            </w:tcBorders>
            <w:vAlign w:val="center"/>
          </w:tcPr>
          <w:p w14:paraId="3D47E069">
            <w:pPr>
              <w:snapToGrid w:val="0"/>
              <w:spacing w:after="0" w:line="320" w:lineRule="exact"/>
              <w:jc w:val="center"/>
              <w:rPr>
                <w:rFonts w:ascii="宋体"/>
                <w:b/>
                <w:bCs/>
                <w:sz w:val="18"/>
                <w:szCs w:val="18"/>
              </w:rPr>
            </w:pPr>
            <w:r>
              <w:rPr>
                <w:rFonts w:hint="eastAsia" w:ascii="宋体" w:hAnsi="宋体" w:cs="宋体"/>
                <w:sz w:val="18"/>
                <w:szCs w:val="18"/>
              </w:rPr>
              <w:t>C</w:t>
            </w:r>
          </w:p>
        </w:tc>
        <w:tc>
          <w:tcPr>
            <w:tcW w:w="439" w:type="dxa"/>
            <w:tcBorders>
              <w:top w:val="single" w:color="auto" w:sz="4" w:space="0"/>
              <w:left w:val="single" w:color="auto" w:sz="4" w:space="0"/>
              <w:bottom w:val="single" w:color="auto" w:sz="4" w:space="0"/>
              <w:right w:val="single" w:color="auto" w:sz="4" w:space="0"/>
            </w:tcBorders>
            <w:vAlign w:val="center"/>
          </w:tcPr>
          <w:p w14:paraId="0978F038">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D</w:t>
            </w:r>
          </w:p>
        </w:tc>
        <w:tc>
          <w:tcPr>
            <w:tcW w:w="439" w:type="dxa"/>
            <w:tcBorders>
              <w:top w:val="single" w:color="auto" w:sz="4" w:space="0"/>
              <w:left w:val="single" w:color="auto" w:sz="4" w:space="0"/>
              <w:bottom w:val="single" w:color="auto" w:sz="4" w:space="0"/>
              <w:right w:val="single" w:color="auto" w:sz="4" w:space="0"/>
            </w:tcBorders>
            <w:vAlign w:val="center"/>
          </w:tcPr>
          <w:p w14:paraId="7FA4402C">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D</w:t>
            </w:r>
          </w:p>
        </w:tc>
      </w:tr>
      <w:tr w14:paraId="09D0E0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1676C9E9">
            <w:pPr>
              <w:snapToGrid w:val="0"/>
              <w:spacing w:after="0" w:line="320" w:lineRule="exact"/>
              <w:jc w:val="center"/>
              <w:rPr>
                <w:rFonts w:ascii="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九</w:t>
            </w:r>
          </w:p>
        </w:tc>
        <w:tc>
          <w:tcPr>
            <w:tcW w:w="366" w:type="dxa"/>
            <w:tcBorders>
              <w:top w:val="single" w:color="auto" w:sz="4" w:space="0"/>
              <w:left w:val="single" w:color="auto" w:sz="4" w:space="0"/>
              <w:bottom w:val="single" w:color="auto" w:sz="4" w:space="0"/>
              <w:right w:val="single" w:color="auto" w:sz="4" w:space="0"/>
            </w:tcBorders>
            <w:vAlign w:val="center"/>
          </w:tcPr>
          <w:p w14:paraId="662CBE04">
            <w:pPr>
              <w:spacing w:after="0" w:line="320" w:lineRule="exact"/>
              <w:jc w:val="center"/>
              <w:rPr>
                <w:rFonts w:ascii="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C</w:t>
            </w:r>
          </w:p>
        </w:tc>
        <w:tc>
          <w:tcPr>
            <w:tcW w:w="335" w:type="dxa"/>
            <w:tcBorders>
              <w:top w:val="single" w:color="auto" w:sz="4" w:space="0"/>
              <w:left w:val="single" w:color="auto" w:sz="4" w:space="0"/>
              <w:bottom w:val="single" w:color="auto" w:sz="4" w:space="0"/>
              <w:right w:val="single" w:color="auto" w:sz="4" w:space="0"/>
            </w:tcBorders>
            <w:vAlign w:val="center"/>
          </w:tcPr>
          <w:p w14:paraId="5D829F81">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96" w:type="dxa"/>
            <w:tcBorders>
              <w:top w:val="single" w:color="auto" w:sz="4" w:space="0"/>
              <w:left w:val="single" w:color="auto" w:sz="4" w:space="0"/>
              <w:bottom w:val="single" w:color="auto" w:sz="4" w:space="0"/>
              <w:right w:val="single" w:color="auto" w:sz="4" w:space="0"/>
            </w:tcBorders>
            <w:vAlign w:val="center"/>
          </w:tcPr>
          <w:p w14:paraId="772E01F5">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5" w:type="dxa"/>
            <w:tcBorders>
              <w:top w:val="single" w:color="auto" w:sz="4" w:space="0"/>
              <w:left w:val="single" w:color="auto" w:sz="4" w:space="0"/>
              <w:bottom w:val="single" w:color="auto" w:sz="4" w:space="0"/>
              <w:right w:val="single" w:color="auto" w:sz="4" w:space="0"/>
            </w:tcBorders>
            <w:vAlign w:val="center"/>
          </w:tcPr>
          <w:p w14:paraId="3B0E1C00">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2754F98D">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01F66FFE">
            <w:pPr>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C</w:t>
            </w:r>
          </w:p>
        </w:tc>
        <w:tc>
          <w:tcPr>
            <w:tcW w:w="361" w:type="dxa"/>
            <w:tcBorders>
              <w:top w:val="single" w:color="auto" w:sz="4" w:space="0"/>
              <w:left w:val="single" w:color="auto" w:sz="4" w:space="0"/>
              <w:bottom w:val="single" w:color="auto" w:sz="4" w:space="0"/>
              <w:right w:val="single" w:color="auto" w:sz="4" w:space="0"/>
            </w:tcBorders>
            <w:vAlign w:val="center"/>
          </w:tcPr>
          <w:p w14:paraId="6633079D">
            <w:pPr>
              <w:spacing w:after="0" w:line="320" w:lineRule="exact"/>
              <w:jc w:val="center"/>
              <w:rPr>
                <w:rFonts w:ascii="宋体"/>
                <w:sz w:val="18"/>
                <w:szCs w:val="18"/>
              </w:rPr>
            </w:pPr>
            <w:r>
              <w:rPr>
                <w:rFonts w:hint="eastAsia" w:ascii="宋体" w:hAnsi="宋体" w:cs="宋体"/>
                <w:sz w:val="18"/>
                <w:szCs w:val="18"/>
              </w:rPr>
              <w:t>C</w:t>
            </w:r>
          </w:p>
        </w:tc>
        <w:tc>
          <w:tcPr>
            <w:tcW w:w="361" w:type="dxa"/>
            <w:tcBorders>
              <w:top w:val="single" w:color="auto" w:sz="4" w:space="0"/>
              <w:left w:val="single" w:color="auto" w:sz="4" w:space="0"/>
              <w:bottom w:val="single" w:color="auto" w:sz="4" w:space="0"/>
              <w:right w:val="single" w:color="auto" w:sz="4" w:space="0"/>
            </w:tcBorders>
            <w:vAlign w:val="center"/>
          </w:tcPr>
          <w:p w14:paraId="4EB7EF8C">
            <w:pPr>
              <w:snapToGrid w:val="0"/>
              <w:spacing w:after="0" w:line="320" w:lineRule="exact"/>
              <w:jc w:val="center"/>
              <w:rPr>
                <w:rFonts w:ascii="宋体"/>
                <w:sz w:val="18"/>
                <w:szCs w:val="18"/>
              </w:rPr>
            </w:pPr>
            <w:r>
              <w:rPr>
                <w:rFonts w:hint="eastAsia" w:ascii="宋体" w:hAnsi="宋体" w:cs="宋体"/>
                <w:sz w:val="18"/>
                <w:szCs w:val="18"/>
              </w:rPr>
              <w:t>C</w:t>
            </w:r>
          </w:p>
        </w:tc>
        <w:tc>
          <w:tcPr>
            <w:tcW w:w="361" w:type="dxa"/>
            <w:tcBorders>
              <w:top w:val="single" w:color="auto" w:sz="4" w:space="0"/>
              <w:left w:val="single" w:color="auto" w:sz="4" w:space="0"/>
              <w:bottom w:val="single" w:color="auto" w:sz="4" w:space="0"/>
              <w:right w:val="single" w:color="auto" w:sz="4" w:space="0"/>
            </w:tcBorders>
            <w:vAlign w:val="center"/>
          </w:tcPr>
          <w:p w14:paraId="016DB2B8">
            <w:pPr>
              <w:spacing w:after="0" w:line="320" w:lineRule="exact"/>
              <w:jc w:val="center"/>
              <w:rPr>
                <w:rFonts w:ascii="宋体"/>
                <w:sz w:val="18"/>
                <w:szCs w:val="18"/>
              </w:rPr>
            </w:pPr>
            <w:r>
              <w:rPr>
                <w:rFonts w:hint="eastAsia" w:ascii="宋体" w:hAnsi="宋体" w:cs="宋体"/>
                <w:sz w:val="18"/>
                <w:szCs w:val="18"/>
              </w:rPr>
              <w:t>C</w:t>
            </w:r>
          </w:p>
        </w:tc>
        <w:tc>
          <w:tcPr>
            <w:tcW w:w="439" w:type="dxa"/>
            <w:tcBorders>
              <w:top w:val="single" w:color="auto" w:sz="4" w:space="0"/>
              <w:left w:val="single" w:color="auto" w:sz="4" w:space="0"/>
              <w:bottom w:val="single" w:color="auto" w:sz="4" w:space="0"/>
              <w:right w:val="single" w:color="auto" w:sz="4" w:space="0"/>
            </w:tcBorders>
            <w:vAlign w:val="center"/>
          </w:tcPr>
          <w:p w14:paraId="686DDCB0">
            <w:pPr>
              <w:snapToGrid w:val="0"/>
              <w:spacing w:after="0" w:line="320" w:lineRule="exact"/>
              <w:jc w:val="center"/>
              <w:rPr>
                <w:rFonts w:ascii="宋体"/>
                <w:sz w:val="18"/>
                <w:szCs w:val="18"/>
              </w:rPr>
            </w:pPr>
            <w:r>
              <w:rPr>
                <w:rFonts w:hint="eastAsia" w:ascii="宋体" w:hAnsi="宋体" w:cs="宋体"/>
                <w:sz w:val="18"/>
                <w:szCs w:val="18"/>
              </w:rPr>
              <w:t>C</w:t>
            </w:r>
          </w:p>
        </w:tc>
        <w:tc>
          <w:tcPr>
            <w:tcW w:w="439" w:type="dxa"/>
            <w:tcBorders>
              <w:top w:val="single" w:color="auto" w:sz="4" w:space="0"/>
              <w:left w:val="single" w:color="auto" w:sz="4" w:space="0"/>
              <w:bottom w:val="single" w:color="auto" w:sz="4" w:space="0"/>
              <w:right w:val="single" w:color="auto" w:sz="4" w:space="0"/>
            </w:tcBorders>
            <w:vAlign w:val="center"/>
          </w:tcPr>
          <w:p w14:paraId="59B82D58">
            <w:pPr>
              <w:spacing w:after="0" w:line="320" w:lineRule="exact"/>
              <w:jc w:val="center"/>
              <w:rPr>
                <w:rFonts w:ascii="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G</w:t>
            </w:r>
          </w:p>
        </w:tc>
        <w:tc>
          <w:tcPr>
            <w:tcW w:w="439" w:type="dxa"/>
            <w:tcBorders>
              <w:top w:val="single" w:color="auto" w:sz="4" w:space="0"/>
              <w:left w:val="single" w:color="auto" w:sz="4" w:space="0"/>
              <w:bottom w:val="single" w:color="auto" w:sz="4" w:space="0"/>
              <w:right w:val="single" w:color="auto" w:sz="4" w:space="0"/>
            </w:tcBorders>
            <w:vAlign w:val="center"/>
          </w:tcPr>
          <w:p w14:paraId="09B0735F">
            <w:pPr>
              <w:spacing w:after="0" w:line="320" w:lineRule="exact"/>
              <w:jc w:val="center"/>
              <w:rPr>
                <w:rFonts w:ascii="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G</w:t>
            </w:r>
          </w:p>
        </w:tc>
        <w:tc>
          <w:tcPr>
            <w:tcW w:w="439" w:type="dxa"/>
            <w:tcBorders>
              <w:top w:val="single" w:color="auto" w:sz="4" w:space="0"/>
              <w:left w:val="single" w:color="auto" w:sz="4" w:space="0"/>
              <w:bottom w:val="single" w:color="auto" w:sz="4" w:space="0"/>
              <w:right w:val="single" w:color="auto" w:sz="4" w:space="0"/>
            </w:tcBorders>
            <w:vAlign w:val="center"/>
          </w:tcPr>
          <w:p w14:paraId="5146B44A">
            <w:pPr>
              <w:spacing w:after="0" w:line="320" w:lineRule="exact"/>
              <w:jc w:val="center"/>
              <w:rPr>
                <w:rFonts w:ascii="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G</w:t>
            </w:r>
          </w:p>
        </w:tc>
        <w:tc>
          <w:tcPr>
            <w:tcW w:w="439" w:type="dxa"/>
            <w:tcBorders>
              <w:top w:val="single" w:color="auto" w:sz="4" w:space="0"/>
              <w:left w:val="single" w:color="auto" w:sz="4" w:space="0"/>
              <w:bottom w:val="single" w:color="auto" w:sz="4" w:space="0"/>
              <w:right w:val="single" w:color="auto" w:sz="4" w:space="0"/>
            </w:tcBorders>
            <w:vAlign w:val="center"/>
          </w:tcPr>
          <w:p w14:paraId="207F5E3D">
            <w:pPr>
              <w:spacing w:after="0" w:line="320" w:lineRule="exact"/>
              <w:jc w:val="center"/>
              <w:rPr>
                <w:rFonts w:ascii="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G</w:t>
            </w:r>
          </w:p>
        </w:tc>
        <w:tc>
          <w:tcPr>
            <w:tcW w:w="439" w:type="dxa"/>
            <w:tcBorders>
              <w:top w:val="single" w:color="auto" w:sz="4" w:space="0"/>
              <w:left w:val="single" w:color="auto" w:sz="4" w:space="0"/>
              <w:bottom w:val="single" w:color="auto" w:sz="4" w:space="0"/>
              <w:right w:val="single" w:color="auto" w:sz="4" w:space="0"/>
            </w:tcBorders>
            <w:vAlign w:val="center"/>
          </w:tcPr>
          <w:p w14:paraId="514F1E74">
            <w:pPr>
              <w:snapToGrid w:val="0"/>
              <w:spacing w:after="0" w:line="320" w:lineRule="exact"/>
              <w:jc w:val="center"/>
              <w:rPr>
                <w:rFonts w:ascii="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G</w:t>
            </w:r>
          </w:p>
        </w:tc>
        <w:tc>
          <w:tcPr>
            <w:tcW w:w="439" w:type="dxa"/>
            <w:tcBorders>
              <w:top w:val="single" w:color="auto" w:sz="4" w:space="0"/>
              <w:left w:val="single" w:color="auto" w:sz="4" w:space="0"/>
              <w:bottom w:val="single" w:color="auto" w:sz="4" w:space="0"/>
              <w:right w:val="single" w:color="auto" w:sz="4" w:space="0"/>
            </w:tcBorders>
            <w:vAlign w:val="center"/>
          </w:tcPr>
          <w:p w14:paraId="63502F3D">
            <w:pPr>
              <w:snapToGrid w:val="0"/>
              <w:spacing w:after="0" w:line="320" w:lineRule="exact"/>
              <w:jc w:val="center"/>
              <w:rPr>
                <w:rFonts w:ascii="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G</w:t>
            </w:r>
          </w:p>
        </w:tc>
        <w:tc>
          <w:tcPr>
            <w:tcW w:w="439" w:type="dxa"/>
            <w:tcBorders>
              <w:top w:val="single" w:color="auto" w:sz="4" w:space="0"/>
              <w:left w:val="single" w:color="auto" w:sz="4" w:space="0"/>
              <w:bottom w:val="single" w:color="auto" w:sz="4" w:space="0"/>
              <w:right w:val="single" w:color="auto" w:sz="4" w:space="0"/>
            </w:tcBorders>
            <w:vAlign w:val="center"/>
          </w:tcPr>
          <w:p w14:paraId="163134F8">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G</w:t>
            </w:r>
          </w:p>
        </w:tc>
        <w:tc>
          <w:tcPr>
            <w:tcW w:w="439" w:type="dxa"/>
            <w:tcBorders>
              <w:top w:val="single" w:color="auto" w:sz="4" w:space="0"/>
              <w:left w:val="single" w:color="auto" w:sz="4" w:space="0"/>
              <w:bottom w:val="single" w:color="auto" w:sz="4" w:space="0"/>
              <w:right w:val="single" w:color="auto" w:sz="4" w:space="0"/>
            </w:tcBorders>
            <w:vAlign w:val="center"/>
          </w:tcPr>
          <w:p w14:paraId="78C9C098">
            <w:pPr>
              <w:snapToGrid w:val="0"/>
              <w:spacing w:after="0" w:line="320" w:lineRule="exact"/>
              <w:jc w:val="center"/>
              <w:rPr>
                <w:rFonts w:ascii="宋体"/>
                <w:color w:val="000000" w:themeColor="text1"/>
                <w:sz w:val="18"/>
                <w:szCs w:val="18"/>
                <w14:textFill>
                  <w14:solidFill>
                    <w14:schemeClr w14:val="tx1"/>
                  </w14:solidFill>
                </w14:textFill>
              </w:rPr>
            </w:pPr>
            <w:r>
              <w:rPr>
                <w:rFonts w:hint="eastAsia" w:ascii="宋体"/>
                <w:color w:val="000000" w:themeColor="text1"/>
                <w:sz w:val="18"/>
                <w:szCs w:val="18"/>
                <w14:textFill>
                  <w14:solidFill>
                    <w14:schemeClr w14:val="tx1"/>
                  </w14:solidFill>
                </w14:textFill>
              </w:rPr>
              <w:t>G</w:t>
            </w:r>
          </w:p>
        </w:tc>
        <w:tc>
          <w:tcPr>
            <w:tcW w:w="439" w:type="dxa"/>
            <w:tcBorders>
              <w:top w:val="single" w:color="auto" w:sz="4" w:space="0"/>
              <w:left w:val="single" w:color="auto" w:sz="4" w:space="0"/>
              <w:bottom w:val="single" w:color="auto" w:sz="4" w:space="0"/>
              <w:right w:val="single" w:color="auto" w:sz="4" w:space="0"/>
            </w:tcBorders>
            <w:vAlign w:val="center"/>
          </w:tcPr>
          <w:p w14:paraId="6EEE7164">
            <w:pPr>
              <w:snapToGrid w:val="0"/>
              <w:spacing w:after="0" w:line="320" w:lineRule="exact"/>
              <w:jc w:val="center"/>
              <w:rPr>
                <w:rFonts w:ascii="宋体"/>
                <w:color w:val="000000" w:themeColor="text1"/>
                <w:sz w:val="18"/>
                <w:szCs w:val="18"/>
                <w14:textFill>
                  <w14:solidFill>
                    <w14:schemeClr w14:val="tx1"/>
                  </w14:solidFill>
                </w14:textFill>
              </w:rPr>
            </w:pPr>
            <w:r>
              <w:rPr>
                <w:rFonts w:hint="eastAsia" w:ascii="宋体"/>
                <w:color w:val="000000" w:themeColor="text1"/>
                <w:sz w:val="18"/>
                <w:szCs w:val="18"/>
                <w14:textFill>
                  <w14:solidFill>
                    <w14:schemeClr w14:val="tx1"/>
                  </w14:solidFill>
                </w14:textFill>
              </w:rPr>
              <w:t>D</w:t>
            </w:r>
          </w:p>
        </w:tc>
        <w:tc>
          <w:tcPr>
            <w:tcW w:w="439" w:type="dxa"/>
            <w:tcBorders>
              <w:top w:val="single" w:color="auto" w:sz="4" w:space="0"/>
              <w:left w:val="single" w:color="auto" w:sz="4" w:space="0"/>
              <w:bottom w:val="single" w:color="auto" w:sz="4" w:space="0"/>
              <w:right w:val="single" w:color="auto" w:sz="4" w:space="0"/>
            </w:tcBorders>
            <w:vAlign w:val="center"/>
          </w:tcPr>
          <w:p w14:paraId="4C80F201">
            <w:pPr>
              <w:snapToGrid w:val="0"/>
              <w:spacing w:after="0" w:line="320" w:lineRule="exact"/>
              <w:jc w:val="center"/>
              <w:rPr>
                <w:rFonts w:ascii="宋体"/>
                <w:color w:val="000000" w:themeColor="text1"/>
                <w:sz w:val="18"/>
                <w:szCs w:val="18"/>
                <w14:textFill>
                  <w14:solidFill>
                    <w14:schemeClr w14:val="tx1"/>
                  </w14:solidFill>
                </w14:textFill>
              </w:rPr>
            </w:pPr>
            <w:r>
              <w:rPr>
                <w:rFonts w:hint="eastAsia" w:ascii="宋体"/>
                <w:color w:val="000000" w:themeColor="text1"/>
                <w:sz w:val="18"/>
                <w:szCs w:val="18"/>
                <w14:textFill>
                  <w14:solidFill>
                    <w14:schemeClr w14:val="tx1"/>
                  </w14:solidFill>
                </w14:textFill>
              </w:rPr>
              <w:t>D</w:t>
            </w:r>
          </w:p>
        </w:tc>
      </w:tr>
      <w:tr w14:paraId="447111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8"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2D4B6EDC">
            <w:pPr>
              <w:snapToGrid w:val="0"/>
              <w:spacing w:after="0" w:line="320" w:lineRule="exact"/>
              <w:jc w:val="center"/>
              <w:rPr>
                <w:rFonts w:ascii="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十</w:t>
            </w:r>
          </w:p>
        </w:tc>
        <w:tc>
          <w:tcPr>
            <w:tcW w:w="366" w:type="dxa"/>
            <w:tcBorders>
              <w:top w:val="single" w:color="auto" w:sz="4" w:space="0"/>
              <w:left w:val="single" w:color="auto" w:sz="4" w:space="0"/>
              <w:bottom w:val="single" w:color="auto" w:sz="4" w:space="0"/>
              <w:right w:val="single" w:color="auto" w:sz="4" w:space="0"/>
            </w:tcBorders>
            <w:vAlign w:val="center"/>
          </w:tcPr>
          <w:p w14:paraId="41E8B57B">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F</w:t>
            </w:r>
          </w:p>
        </w:tc>
        <w:tc>
          <w:tcPr>
            <w:tcW w:w="335" w:type="dxa"/>
            <w:tcBorders>
              <w:top w:val="single" w:color="auto" w:sz="4" w:space="0"/>
              <w:left w:val="single" w:color="auto" w:sz="4" w:space="0"/>
              <w:bottom w:val="single" w:color="auto" w:sz="4" w:space="0"/>
              <w:right w:val="single" w:color="auto" w:sz="4" w:space="0"/>
            </w:tcBorders>
            <w:vAlign w:val="center"/>
          </w:tcPr>
          <w:p w14:paraId="1786F512">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F</w:t>
            </w:r>
          </w:p>
        </w:tc>
        <w:tc>
          <w:tcPr>
            <w:tcW w:w="396" w:type="dxa"/>
            <w:tcBorders>
              <w:top w:val="single" w:color="auto" w:sz="4" w:space="0"/>
              <w:left w:val="single" w:color="auto" w:sz="4" w:space="0"/>
              <w:bottom w:val="single" w:color="auto" w:sz="4" w:space="0"/>
              <w:right w:val="single" w:color="auto" w:sz="4" w:space="0"/>
            </w:tcBorders>
            <w:vAlign w:val="center"/>
          </w:tcPr>
          <w:p w14:paraId="2F746EA9">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F</w:t>
            </w:r>
          </w:p>
        </w:tc>
        <w:tc>
          <w:tcPr>
            <w:tcW w:w="365" w:type="dxa"/>
            <w:tcBorders>
              <w:top w:val="single" w:color="auto" w:sz="4" w:space="0"/>
              <w:left w:val="single" w:color="auto" w:sz="4" w:space="0"/>
              <w:bottom w:val="single" w:color="auto" w:sz="4" w:space="0"/>
              <w:right w:val="single" w:color="auto" w:sz="4" w:space="0"/>
            </w:tcBorders>
            <w:vAlign w:val="center"/>
          </w:tcPr>
          <w:p w14:paraId="20C608F0">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F</w:t>
            </w:r>
          </w:p>
        </w:tc>
        <w:tc>
          <w:tcPr>
            <w:tcW w:w="361" w:type="dxa"/>
            <w:tcBorders>
              <w:top w:val="single" w:color="auto" w:sz="4" w:space="0"/>
              <w:left w:val="single" w:color="auto" w:sz="4" w:space="0"/>
              <w:bottom w:val="single" w:color="auto" w:sz="4" w:space="0"/>
              <w:right w:val="single" w:color="auto" w:sz="4" w:space="0"/>
            </w:tcBorders>
            <w:vAlign w:val="center"/>
          </w:tcPr>
          <w:p w14:paraId="685193DC">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F</w:t>
            </w:r>
          </w:p>
        </w:tc>
        <w:tc>
          <w:tcPr>
            <w:tcW w:w="361" w:type="dxa"/>
            <w:tcBorders>
              <w:top w:val="single" w:color="auto" w:sz="4" w:space="0"/>
              <w:left w:val="single" w:color="auto" w:sz="4" w:space="0"/>
              <w:bottom w:val="single" w:color="auto" w:sz="4" w:space="0"/>
              <w:right w:val="single" w:color="auto" w:sz="4" w:space="0"/>
            </w:tcBorders>
            <w:vAlign w:val="center"/>
          </w:tcPr>
          <w:p w14:paraId="1CA2535D">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F</w:t>
            </w:r>
          </w:p>
        </w:tc>
        <w:tc>
          <w:tcPr>
            <w:tcW w:w="361" w:type="dxa"/>
            <w:tcBorders>
              <w:top w:val="single" w:color="auto" w:sz="4" w:space="0"/>
              <w:left w:val="single" w:color="auto" w:sz="4" w:space="0"/>
              <w:bottom w:val="single" w:color="auto" w:sz="4" w:space="0"/>
              <w:right w:val="single" w:color="auto" w:sz="4" w:space="0"/>
            </w:tcBorders>
            <w:vAlign w:val="center"/>
          </w:tcPr>
          <w:p w14:paraId="1A64D49B">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F</w:t>
            </w:r>
          </w:p>
        </w:tc>
        <w:tc>
          <w:tcPr>
            <w:tcW w:w="361" w:type="dxa"/>
            <w:tcBorders>
              <w:top w:val="single" w:color="auto" w:sz="4" w:space="0"/>
              <w:left w:val="single" w:color="auto" w:sz="4" w:space="0"/>
              <w:bottom w:val="single" w:color="auto" w:sz="4" w:space="0"/>
              <w:right w:val="single" w:color="auto" w:sz="4" w:space="0"/>
            </w:tcBorders>
            <w:vAlign w:val="center"/>
          </w:tcPr>
          <w:p w14:paraId="293CEC2B">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F</w:t>
            </w:r>
          </w:p>
        </w:tc>
        <w:tc>
          <w:tcPr>
            <w:tcW w:w="361" w:type="dxa"/>
            <w:tcBorders>
              <w:top w:val="single" w:color="auto" w:sz="4" w:space="0"/>
              <w:left w:val="single" w:color="auto" w:sz="4" w:space="0"/>
              <w:bottom w:val="single" w:color="auto" w:sz="4" w:space="0"/>
              <w:right w:val="single" w:color="auto" w:sz="4" w:space="0"/>
            </w:tcBorders>
            <w:vAlign w:val="center"/>
          </w:tcPr>
          <w:p w14:paraId="213CE765">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F</w:t>
            </w:r>
          </w:p>
        </w:tc>
        <w:tc>
          <w:tcPr>
            <w:tcW w:w="439" w:type="dxa"/>
            <w:tcBorders>
              <w:top w:val="single" w:color="auto" w:sz="4" w:space="0"/>
              <w:left w:val="single" w:color="auto" w:sz="4" w:space="0"/>
              <w:bottom w:val="single" w:color="auto" w:sz="4" w:space="0"/>
              <w:right w:val="single" w:color="auto" w:sz="4" w:space="0"/>
            </w:tcBorders>
            <w:vAlign w:val="center"/>
          </w:tcPr>
          <w:p w14:paraId="3885C2E4">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F</w:t>
            </w:r>
          </w:p>
        </w:tc>
        <w:tc>
          <w:tcPr>
            <w:tcW w:w="439" w:type="dxa"/>
            <w:tcBorders>
              <w:top w:val="single" w:color="auto" w:sz="4" w:space="0"/>
              <w:left w:val="single" w:color="auto" w:sz="4" w:space="0"/>
              <w:bottom w:val="single" w:color="auto" w:sz="4" w:space="0"/>
              <w:right w:val="single" w:color="auto" w:sz="4" w:space="0"/>
            </w:tcBorders>
            <w:vAlign w:val="center"/>
          </w:tcPr>
          <w:p w14:paraId="7E927D51">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F</w:t>
            </w:r>
          </w:p>
        </w:tc>
        <w:tc>
          <w:tcPr>
            <w:tcW w:w="439" w:type="dxa"/>
            <w:tcBorders>
              <w:top w:val="single" w:color="auto" w:sz="4" w:space="0"/>
              <w:left w:val="single" w:color="auto" w:sz="4" w:space="0"/>
              <w:bottom w:val="single" w:color="auto" w:sz="4" w:space="0"/>
              <w:right w:val="single" w:color="auto" w:sz="4" w:space="0"/>
            </w:tcBorders>
            <w:vAlign w:val="center"/>
          </w:tcPr>
          <w:p w14:paraId="54DE7A1F">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F</w:t>
            </w:r>
          </w:p>
        </w:tc>
        <w:tc>
          <w:tcPr>
            <w:tcW w:w="439" w:type="dxa"/>
            <w:tcBorders>
              <w:top w:val="single" w:color="auto" w:sz="4" w:space="0"/>
              <w:left w:val="single" w:color="auto" w:sz="4" w:space="0"/>
              <w:bottom w:val="single" w:color="auto" w:sz="4" w:space="0"/>
              <w:right w:val="single" w:color="auto" w:sz="4" w:space="0"/>
            </w:tcBorders>
            <w:vAlign w:val="center"/>
          </w:tcPr>
          <w:p w14:paraId="75FFCE1A">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F</w:t>
            </w:r>
          </w:p>
        </w:tc>
        <w:tc>
          <w:tcPr>
            <w:tcW w:w="439" w:type="dxa"/>
            <w:tcBorders>
              <w:top w:val="single" w:color="auto" w:sz="4" w:space="0"/>
              <w:left w:val="single" w:color="auto" w:sz="4" w:space="0"/>
              <w:bottom w:val="single" w:color="auto" w:sz="4" w:space="0"/>
              <w:right w:val="single" w:color="auto" w:sz="4" w:space="0"/>
            </w:tcBorders>
            <w:vAlign w:val="center"/>
          </w:tcPr>
          <w:p w14:paraId="7192A94A">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F</w:t>
            </w:r>
          </w:p>
        </w:tc>
        <w:tc>
          <w:tcPr>
            <w:tcW w:w="439" w:type="dxa"/>
            <w:tcBorders>
              <w:top w:val="single" w:color="auto" w:sz="4" w:space="0"/>
              <w:left w:val="single" w:color="auto" w:sz="4" w:space="0"/>
              <w:bottom w:val="single" w:color="auto" w:sz="4" w:space="0"/>
              <w:right w:val="single" w:color="auto" w:sz="4" w:space="0"/>
            </w:tcBorders>
            <w:vAlign w:val="center"/>
          </w:tcPr>
          <w:p w14:paraId="227560D0">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F</w:t>
            </w:r>
          </w:p>
        </w:tc>
        <w:tc>
          <w:tcPr>
            <w:tcW w:w="439" w:type="dxa"/>
            <w:tcBorders>
              <w:top w:val="single" w:color="auto" w:sz="4" w:space="0"/>
              <w:left w:val="single" w:color="auto" w:sz="4" w:space="0"/>
              <w:bottom w:val="single" w:color="auto" w:sz="4" w:space="0"/>
              <w:right w:val="single" w:color="auto" w:sz="4" w:space="0"/>
            </w:tcBorders>
            <w:vAlign w:val="center"/>
          </w:tcPr>
          <w:p w14:paraId="0C0FD8D1">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F</w:t>
            </w:r>
          </w:p>
        </w:tc>
        <w:tc>
          <w:tcPr>
            <w:tcW w:w="439" w:type="dxa"/>
            <w:tcBorders>
              <w:top w:val="single" w:color="auto" w:sz="4" w:space="0"/>
              <w:left w:val="single" w:color="auto" w:sz="4" w:space="0"/>
              <w:bottom w:val="single" w:color="auto" w:sz="4" w:space="0"/>
              <w:right w:val="single" w:color="auto" w:sz="4" w:space="0"/>
            </w:tcBorders>
            <w:vAlign w:val="center"/>
          </w:tcPr>
          <w:p w14:paraId="56FD87D1">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F</w:t>
            </w:r>
          </w:p>
        </w:tc>
        <w:tc>
          <w:tcPr>
            <w:tcW w:w="439" w:type="dxa"/>
            <w:tcBorders>
              <w:top w:val="single" w:color="auto" w:sz="4" w:space="0"/>
              <w:left w:val="single" w:color="auto" w:sz="4" w:space="0"/>
              <w:bottom w:val="single" w:color="auto" w:sz="4" w:space="0"/>
              <w:right w:val="single" w:color="auto" w:sz="4" w:space="0"/>
            </w:tcBorders>
            <w:vAlign w:val="center"/>
          </w:tcPr>
          <w:p w14:paraId="5750381D">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F</w:t>
            </w:r>
          </w:p>
        </w:tc>
        <w:tc>
          <w:tcPr>
            <w:tcW w:w="439" w:type="dxa"/>
            <w:tcBorders>
              <w:top w:val="single" w:color="auto" w:sz="4" w:space="0"/>
              <w:left w:val="single" w:color="auto" w:sz="4" w:space="0"/>
              <w:bottom w:val="single" w:color="auto" w:sz="4" w:space="0"/>
              <w:right w:val="single" w:color="auto" w:sz="4" w:space="0"/>
            </w:tcBorders>
            <w:vAlign w:val="center"/>
          </w:tcPr>
          <w:p w14:paraId="3B858C8C">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F</w:t>
            </w:r>
          </w:p>
        </w:tc>
        <w:tc>
          <w:tcPr>
            <w:tcW w:w="439" w:type="dxa"/>
            <w:tcBorders>
              <w:top w:val="single" w:color="auto" w:sz="4" w:space="0"/>
              <w:left w:val="single" w:color="auto" w:sz="4" w:space="0"/>
              <w:bottom w:val="single" w:color="auto" w:sz="4" w:space="0"/>
              <w:right w:val="single" w:color="auto" w:sz="4" w:space="0"/>
            </w:tcBorders>
            <w:vAlign w:val="center"/>
          </w:tcPr>
          <w:p w14:paraId="0D6DB2CD">
            <w:pPr>
              <w:snapToGrid w:val="0"/>
              <w:spacing w:after="0" w:line="320" w:lineRule="exact"/>
              <w:jc w:val="center"/>
              <w:rPr>
                <w:rFonts w:ascii="宋体"/>
                <w:color w:val="000000" w:themeColor="text1"/>
                <w:sz w:val="18"/>
                <w:szCs w:val="18"/>
                <w14:textFill>
                  <w14:solidFill>
                    <w14:schemeClr w14:val="tx1"/>
                  </w14:solidFill>
                </w14:textFill>
              </w:rPr>
            </w:pPr>
            <w:r>
              <w:rPr>
                <w:rFonts w:ascii="宋体" w:hAnsi="宋体" w:cs="宋体"/>
                <w:color w:val="000000" w:themeColor="text1"/>
                <w:sz w:val="18"/>
                <w:szCs w:val="18"/>
                <w14:textFill>
                  <w14:solidFill>
                    <w14:schemeClr w14:val="tx1"/>
                  </w14:solidFill>
                </w14:textFill>
              </w:rPr>
              <w:t>F</w:t>
            </w:r>
          </w:p>
        </w:tc>
      </w:tr>
      <w:tr w14:paraId="2F3F4C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3" w:hRule="atLeast"/>
          <w:jc w:val="center"/>
        </w:trPr>
        <w:tc>
          <w:tcPr>
            <w:tcW w:w="8630" w:type="dxa"/>
            <w:gridSpan w:val="21"/>
            <w:tcBorders>
              <w:top w:val="single" w:color="auto" w:sz="4" w:space="0"/>
              <w:left w:val="single" w:color="auto" w:sz="4" w:space="0"/>
              <w:bottom w:val="single" w:color="auto" w:sz="4" w:space="0"/>
              <w:right w:val="single" w:color="auto" w:sz="4" w:space="0"/>
            </w:tcBorders>
          </w:tcPr>
          <w:p w14:paraId="40A9055B">
            <w:pPr>
              <w:snapToGrid w:val="0"/>
              <w:spacing w:after="0" w:line="320" w:lineRule="exact"/>
              <w:rPr>
                <w:rFonts w:ascii="宋体"/>
                <w:color w:val="000000" w:themeColor="text1"/>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注：</w:t>
            </w:r>
            <w:r>
              <w:rPr>
                <w:rFonts w:ascii="宋体" w:hAnsi="宋体" w:cs="宋体"/>
                <w:color w:val="000000" w:themeColor="text1"/>
                <w:sz w:val="18"/>
                <w:szCs w:val="18"/>
                <w14:textFill>
                  <w14:solidFill>
                    <w14:schemeClr w14:val="tx1"/>
                  </w14:solidFill>
                </w14:textFill>
              </w:rPr>
              <w:t>A</w:t>
            </w:r>
            <w:r>
              <w:rPr>
                <w:rFonts w:hint="eastAsia" w:ascii="宋体" w:hAnsi="宋体" w:cs="宋体"/>
                <w:color w:val="000000" w:themeColor="text1"/>
                <w:sz w:val="18"/>
                <w:szCs w:val="18"/>
                <w14:textFill>
                  <w14:solidFill>
                    <w14:schemeClr w14:val="tx1"/>
                  </w14:solidFill>
                </w14:textFill>
              </w:rPr>
              <w:t>入学教育，</w:t>
            </w:r>
            <w:r>
              <w:rPr>
                <w:rFonts w:ascii="宋体" w:hAnsi="宋体" w:cs="宋体"/>
                <w:color w:val="000000" w:themeColor="text1"/>
                <w:sz w:val="18"/>
                <w:szCs w:val="18"/>
                <w14:textFill>
                  <w14:solidFill>
                    <w14:schemeClr w14:val="tx1"/>
                  </w14:solidFill>
                </w14:textFill>
              </w:rPr>
              <w:t>B</w:t>
            </w:r>
            <w:r>
              <w:rPr>
                <w:rFonts w:hint="eastAsia" w:ascii="宋体" w:hAnsi="宋体" w:cs="宋体"/>
                <w:color w:val="000000" w:themeColor="text1"/>
                <w:sz w:val="18"/>
                <w:szCs w:val="18"/>
                <w14:textFill>
                  <w14:solidFill>
                    <w14:schemeClr w14:val="tx1"/>
                  </w14:solidFill>
                </w14:textFill>
              </w:rPr>
              <w:t>军事训练，</w:t>
            </w:r>
            <w:r>
              <w:rPr>
                <w:rFonts w:ascii="宋体" w:hAnsi="宋体" w:cs="宋体"/>
                <w:color w:val="000000" w:themeColor="text1"/>
                <w:sz w:val="18"/>
                <w:szCs w:val="18"/>
                <w14:textFill>
                  <w14:solidFill>
                    <w14:schemeClr w14:val="tx1"/>
                  </w14:solidFill>
                </w14:textFill>
              </w:rPr>
              <w:t>C</w:t>
            </w:r>
            <w:r>
              <w:rPr>
                <w:rFonts w:hint="eastAsia" w:ascii="宋体" w:hAnsi="宋体" w:cs="宋体"/>
                <w:color w:val="000000" w:themeColor="text1"/>
                <w:sz w:val="18"/>
                <w:szCs w:val="18"/>
                <w14:textFill>
                  <w14:solidFill>
                    <w14:schemeClr w14:val="tx1"/>
                  </w14:solidFill>
                </w14:textFill>
              </w:rPr>
              <w:t>课程教学，</w:t>
            </w:r>
            <w:r>
              <w:rPr>
                <w:rFonts w:ascii="宋体" w:hAnsi="宋体" w:cs="宋体"/>
                <w:color w:val="000000" w:themeColor="text1"/>
                <w:sz w:val="18"/>
                <w:szCs w:val="18"/>
                <w14:textFill>
                  <w14:solidFill>
                    <w14:schemeClr w14:val="tx1"/>
                  </w14:solidFill>
                </w14:textFill>
              </w:rPr>
              <w:t>D</w:t>
            </w:r>
            <w:r>
              <w:rPr>
                <w:rFonts w:hint="eastAsia" w:ascii="宋体" w:hAnsi="宋体" w:cs="宋体"/>
                <w:color w:val="000000" w:themeColor="text1"/>
                <w:sz w:val="18"/>
                <w:szCs w:val="18"/>
                <w14:textFill>
                  <w14:solidFill>
                    <w14:schemeClr w14:val="tx1"/>
                  </w14:solidFill>
                </w14:textFill>
              </w:rPr>
              <w:t>复习考试，</w:t>
            </w:r>
            <w:r>
              <w:rPr>
                <w:rFonts w:ascii="宋体" w:hAnsi="宋体" w:cs="宋体"/>
                <w:color w:val="000000" w:themeColor="text1"/>
                <w:sz w:val="18"/>
                <w:szCs w:val="18"/>
                <w14:textFill>
                  <w14:solidFill>
                    <w14:schemeClr w14:val="tx1"/>
                  </w14:solidFill>
                </w14:textFill>
              </w:rPr>
              <w:t>E</w:t>
            </w:r>
            <w:r>
              <w:rPr>
                <w:rFonts w:hint="eastAsia" w:ascii="宋体" w:hAnsi="宋体" w:cs="宋体"/>
                <w:color w:val="000000" w:themeColor="text1"/>
                <w:sz w:val="18"/>
                <w:szCs w:val="18"/>
                <w14:textFill>
                  <w14:solidFill>
                    <w14:schemeClr w14:val="tx1"/>
                  </w14:solidFill>
                </w14:textFill>
              </w:rPr>
              <w:t>技能鉴定，</w:t>
            </w:r>
            <w:r>
              <w:rPr>
                <w:rFonts w:ascii="宋体" w:hAnsi="宋体" w:cs="宋体"/>
                <w:color w:val="000000" w:themeColor="text1"/>
                <w:sz w:val="18"/>
                <w:szCs w:val="18"/>
                <w14:textFill>
                  <w14:solidFill>
                    <w14:schemeClr w14:val="tx1"/>
                  </w14:solidFill>
                </w14:textFill>
              </w:rPr>
              <w:t>F</w:t>
            </w:r>
            <w:r>
              <w:rPr>
                <w:rFonts w:hint="eastAsia" w:ascii="宋体" w:hAnsi="宋体" w:cs="宋体"/>
                <w:color w:val="000000" w:themeColor="text1"/>
                <w:sz w:val="18"/>
                <w:szCs w:val="18"/>
                <w14:textFill>
                  <w14:solidFill>
                    <w14:schemeClr w14:val="tx1"/>
                  </w14:solidFill>
                </w14:textFill>
              </w:rPr>
              <w:t>岗位实习，</w:t>
            </w:r>
            <w:r>
              <w:rPr>
                <w:rFonts w:ascii="宋体" w:hAnsi="宋体" w:cs="宋体"/>
                <w:color w:val="000000" w:themeColor="text1"/>
                <w:sz w:val="18"/>
                <w:szCs w:val="18"/>
                <w14:textFill>
                  <w14:solidFill>
                    <w14:schemeClr w14:val="tx1"/>
                  </w14:solidFill>
                </w14:textFill>
              </w:rPr>
              <w:t>G</w:t>
            </w:r>
            <w:r>
              <w:rPr>
                <w:rFonts w:hint="eastAsia" w:ascii="宋体" w:hAnsi="宋体" w:cs="宋体"/>
                <w:color w:val="000000" w:themeColor="text1"/>
                <w:sz w:val="18"/>
                <w:szCs w:val="18"/>
                <w14:textFill>
                  <w14:solidFill>
                    <w14:schemeClr w14:val="tx1"/>
                  </w14:solidFill>
                </w14:textFill>
              </w:rPr>
              <w:t>毕业设计</w:t>
            </w:r>
          </w:p>
        </w:tc>
      </w:tr>
    </w:tbl>
    <w:p w14:paraId="2A71242B">
      <w:pPr>
        <w:pStyle w:val="3"/>
        <w:ind w:left="0" w:firstLine="562"/>
        <w:rPr>
          <w:sz w:val="28"/>
          <w:szCs w:val="28"/>
        </w:rPr>
      </w:pPr>
      <w:r>
        <w:rPr>
          <w:rFonts w:hint="eastAsia"/>
          <w:sz w:val="28"/>
          <w:szCs w:val="28"/>
        </w:rPr>
        <w:t>（二）公共课、专业课设置及学时分配</w:t>
      </w:r>
      <w:bookmarkEnd w:id="112"/>
      <w:bookmarkEnd w:id="113"/>
      <w:bookmarkEnd w:id="114"/>
      <w:bookmarkEnd w:id="115"/>
      <w:bookmarkEnd w:id="116"/>
    </w:p>
    <w:p w14:paraId="51855019">
      <w:pPr>
        <w:overflowPunct w:val="0"/>
        <w:adjustRightInd w:val="0"/>
        <w:spacing w:after="0" w:line="440" w:lineRule="exact"/>
        <w:ind w:firstLine="562" w:firstLineChars="200"/>
        <w:rPr>
          <w:rFonts w:asciiTheme="minorEastAsia" w:hAnsiTheme="minorEastAsia" w:eastAsiaTheme="minorEastAsia"/>
          <w:b/>
          <w:bCs/>
          <w:sz w:val="24"/>
          <w:szCs w:val="24"/>
        </w:rPr>
      </w:pPr>
      <w:r>
        <w:rPr>
          <w:rFonts w:hint="eastAsia" w:ascii="宋体" w:hAnsi="宋体" w:eastAsia="宋体" w:cs="宋体"/>
          <w:b/>
          <w:bCs/>
          <w:sz w:val="28"/>
          <w:szCs w:val="28"/>
        </w:rPr>
        <w:t>1.课程学时学分分配</w:t>
      </w:r>
    </w:p>
    <w:p w14:paraId="025EBE0E">
      <w:pPr>
        <w:overflowPunct w:val="0"/>
        <w:adjustRightInd w:val="0"/>
        <w:spacing w:after="0" w:line="440" w:lineRule="exact"/>
        <w:ind w:firstLine="422" w:firstLineChars="200"/>
        <w:jc w:val="center"/>
        <w:rPr>
          <w:rFonts w:asciiTheme="minorEastAsia" w:hAnsiTheme="minorEastAsia" w:eastAsiaTheme="minorEastAsia"/>
          <w:b/>
          <w:bCs/>
          <w:color w:val="FF0000"/>
          <w:sz w:val="24"/>
          <w:szCs w:val="24"/>
        </w:rPr>
      </w:pPr>
      <w:r>
        <w:rPr>
          <w:rFonts w:hint="eastAsia" w:ascii="宋体" w:hAnsi="宋体" w:eastAsia="宋体" w:cs="宋体"/>
          <w:b/>
          <w:bCs/>
          <w:sz w:val="21"/>
          <w:szCs w:val="21"/>
          <w:lang w:bidi="zh-CN"/>
        </w:rPr>
        <w:t>中高职贯通会计信息管理</w:t>
      </w:r>
      <w:r>
        <w:rPr>
          <w:rFonts w:hint="eastAsia" w:ascii="宋体" w:hAnsi="宋体" w:eastAsia="宋体" w:cs="宋体"/>
          <w:b/>
          <w:bCs/>
          <w:sz w:val="21"/>
          <w:szCs w:val="21"/>
          <w:lang w:val="zh-CN" w:bidi="zh-CN"/>
        </w:rPr>
        <w:t>学时学分分配表</w:t>
      </w:r>
    </w:p>
    <w:tbl>
      <w:tblPr>
        <w:tblStyle w:val="13"/>
        <w:tblW w:w="8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01"/>
        <w:gridCol w:w="2194"/>
        <w:gridCol w:w="1704"/>
        <w:gridCol w:w="1692"/>
      </w:tblGrid>
      <w:tr w14:paraId="40C1E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01" w:type="dxa"/>
            <w:tcBorders>
              <w:tl2br w:val="nil"/>
              <w:tr2bl w:val="nil"/>
            </w:tcBorders>
            <w:shd w:val="clear" w:color="auto" w:fill="D9E2F3" w:themeFill="accent5" w:themeFillTint="33"/>
            <w:vAlign w:val="center"/>
          </w:tcPr>
          <w:p w14:paraId="07ADD2F1">
            <w:pPr>
              <w:overflowPunct w:val="0"/>
              <w:adjustRightInd w:val="0"/>
              <w:spacing w:after="0" w:line="320" w:lineRule="exact"/>
              <w:ind w:firstLine="361" w:firstLineChars="200"/>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学分分配</w:t>
            </w:r>
          </w:p>
        </w:tc>
        <w:tc>
          <w:tcPr>
            <w:tcW w:w="2194" w:type="dxa"/>
            <w:tcBorders>
              <w:tl2br w:val="nil"/>
              <w:tr2bl w:val="nil"/>
            </w:tcBorders>
            <w:shd w:val="clear" w:color="auto" w:fill="D9E2F3" w:themeFill="accent5" w:themeFillTint="33"/>
            <w:vAlign w:val="center"/>
          </w:tcPr>
          <w:p w14:paraId="32820F57">
            <w:pPr>
              <w:overflowPunct w:val="0"/>
              <w:adjustRightInd w:val="0"/>
              <w:spacing w:after="0" w:line="320" w:lineRule="exact"/>
              <w:ind w:firstLine="361" w:firstLineChars="200"/>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学时总数</w:t>
            </w:r>
          </w:p>
        </w:tc>
        <w:tc>
          <w:tcPr>
            <w:tcW w:w="1704" w:type="dxa"/>
            <w:tcBorders>
              <w:tl2br w:val="nil"/>
              <w:tr2bl w:val="nil"/>
            </w:tcBorders>
            <w:shd w:val="clear" w:color="auto" w:fill="D9E2F3" w:themeFill="accent5" w:themeFillTint="33"/>
            <w:vAlign w:val="center"/>
          </w:tcPr>
          <w:p w14:paraId="42935862">
            <w:pPr>
              <w:overflowPunct w:val="0"/>
              <w:adjustRightInd w:val="0"/>
              <w:spacing w:after="0" w:line="320" w:lineRule="exact"/>
              <w:ind w:firstLine="361" w:firstLineChars="200"/>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学分总数</w:t>
            </w:r>
          </w:p>
        </w:tc>
        <w:tc>
          <w:tcPr>
            <w:tcW w:w="1692" w:type="dxa"/>
            <w:tcBorders>
              <w:tl2br w:val="nil"/>
              <w:tr2bl w:val="nil"/>
            </w:tcBorders>
            <w:shd w:val="clear" w:color="auto" w:fill="D9E2F3" w:themeFill="accent5" w:themeFillTint="33"/>
            <w:vAlign w:val="center"/>
          </w:tcPr>
          <w:p w14:paraId="29B285C0">
            <w:pPr>
              <w:overflowPunct w:val="0"/>
              <w:adjustRightInd w:val="0"/>
              <w:spacing w:after="0" w:line="320" w:lineRule="exact"/>
              <w:ind w:firstLine="361" w:firstLineChars="200"/>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备注</w:t>
            </w:r>
          </w:p>
        </w:tc>
      </w:tr>
      <w:tr w14:paraId="5C7EC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01" w:type="dxa"/>
            <w:tcBorders>
              <w:tl2br w:val="nil"/>
              <w:tr2bl w:val="nil"/>
            </w:tcBorders>
            <w:vAlign w:val="center"/>
          </w:tcPr>
          <w:p w14:paraId="69ADD43E">
            <w:pPr>
              <w:overflowPunct w:val="0"/>
              <w:adjustRightInd w:val="0"/>
              <w:spacing w:after="0" w:line="320" w:lineRule="exact"/>
              <w:ind w:firstLine="360" w:firstLineChars="20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总学分</w:t>
            </w:r>
          </w:p>
        </w:tc>
        <w:tc>
          <w:tcPr>
            <w:tcW w:w="2194" w:type="dxa"/>
            <w:tcBorders>
              <w:tl2br w:val="nil"/>
              <w:tr2bl w:val="nil"/>
            </w:tcBorders>
            <w:vAlign w:val="center"/>
          </w:tcPr>
          <w:p w14:paraId="4CB44369">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5536</w:t>
            </w:r>
          </w:p>
        </w:tc>
        <w:tc>
          <w:tcPr>
            <w:tcW w:w="1704" w:type="dxa"/>
            <w:tcBorders>
              <w:tl2br w:val="nil"/>
              <w:tr2bl w:val="nil"/>
            </w:tcBorders>
            <w:vAlign w:val="center"/>
          </w:tcPr>
          <w:p w14:paraId="3A8AFAC5">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280</w:t>
            </w:r>
          </w:p>
        </w:tc>
        <w:tc>
          <w:tcPr>
            <w:tcW w:w="1692" w:type="dxa"/>
            <w:tcBorders>
              <w:tl2br w:val="nil"/>
              <w:tr2bl w:val="nil"/>
            </w:tcBorders>
            <w:vAlign w:val="center"/>
          </w:tcPr>
          <w:p w14:paraId="00C3396D">
            <w:pPr>
              <w:overflowPunct w:val="0"/>
              <w:adjustRightInd w:val="0"/>
              <w:spacing w:after="0" w:line="320" w:lineRule="exact"/>
              <w:ind w:firstLine="360" w:firstLineChars="200"/>
              <w:jc w:val="center"/>
              <w:rPr>
                <w:rFonts w:asciiTheme="minorEastAsia" w:hAnsiTheme="minorEastAsia" w:eastAsiaTheme="minorEastAsia"/>
                <w:sz w:val="18"/>
                <w:szCs w:val="18"/>
              </w:rPr>
            </w:pPr>
          </w:p>
        </w:tc>
      </w:tr>
      <w:tr w14:paraId="4C57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01" w:type="dxa"/>
            <w:tcBorders>
              <w:tl2br w:val="nil"/>
              <w:tr2bl w:val="nil"/>
            </w:tcBorders>
            <w:vAlign w:val="center"/>
          </w:tcPr>
          <w:p w14:paraId="069661D6">
            <w:pPr>
              <w:overflowPunct w:val="0"/>
              <w:adjustRightInd w:val="0"/>
              <w:spacing w:after="0" w:line="320" w:lineRule="exact"/>
              <w:ind w:firstLine="360" w:firstLineChars="20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公共基础课</w:t>
            </w:r>
          </w:p>
        </w:tc>
        <w:tc>
          <w:tcPr>
            <w:tcW w:w="2194" w:type="dxa"/>
            <w:tcBorders>
              <w:tl2br w:val="nil"/>
              <w:tr2bl w:val="nil"/>
            </w:tcBorders>
            <w:vAlign w:val="center"/>
          </w:tcPr>
          <w:p w14:paraId="523403CA">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2016</w:t>
            </w:r>
          </w:p>
        </w:tc>
        <w:tc>
          <w:tcPr>
            <w:tcW w:w="1704" w:type="dxa"/>
            <w:tcBorders>
              <w:tl2br w:val="nil"/>
              <w:tr2bl w:val="nil"/>
            </w:tcBorders>
            <w:vAlign w:val="center"/>
          </w:tcPr>
          <w:p w14:paraId="30824D4D">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106</w:t>
            </w:r>
          </w:p>
        </w:tc>
        <w:tc>
          <w:tcPr>
            <w:tcW w:w="1692" w:type="dxa"/>
            <w:tcBorders>
              <w:tl2br w:val="nil"/>
              <w:tr2bl w:val="nil"/>
            </w:tcBorders>
            <w:vAlign w:val="center"/>
          </w:tcPr>
          <w:p w14:paraId="11DC528D">
            <w:pPr>
              <w:overflowPunct w:val="0"/>
              <w:adjustRightInd w:val="0"/>
              <w:spacing w:after="0" w:line="320" w:lineRule="exact"/>
              <w:ind w:firstLine="360" w:firstLineChars="200"/>
              <w:jc w:val="center"/>
              <w:rPr>
                <w:rFonts w:asciiTheme="minorEastAsia" w:hAnsiTheme="minorEastAsia" w:eastAsiaTheme="minorEastAsia"/>
                <w:sz w:val="18"/>
                <w:szCs w:val="18"/>
              </w:rPr>
            </w:pPr>
          </w:p>
        </w:tc>
      </w:tr>
      <w:tr w14:paraId="0FB64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01" w:type="dxa"/>
            <w:tcBorders>
              <w:tl2br w:val="nil"/>
              <w:tr2bl w:val="nil"/>
            </w:tcBorders>
            <w:vAlign w:val="center"/>
          </w:tcPr>
          <w:p w14:paraId="57E0512A">
            <w:pPr>
              <w:overflowPunct w:val="0"/>
              <w:adjustRightInd w:val="0"/>
              <w:spacing w:after="0" w:line="320" w:lineRule="exact"/>
              <w:ind w:firstLine="360" w:firstLineChars="20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专业课、</w:t>
            </w:r>
            <w:r>
              <w:rPr>
                <w:rFonts w:asciiTheme="minorEastAsia" w:hAnsiTheme="minorEastAsia" w:eastAsiaTheme="minorEastAsia"/>
                <w:sz w:val="18"/>
                <w:szCs w:val="18"/>
              </w:rPr>
              <w:t>实践课</w:t>
            </w:r>
          </w:p>
        </w:tc>
        <w:tc>
          <w:tcPr>
            <w:tcW w:w="2194" w:type="dxa"/>
            <w:tcBorders>
              <w:tl2br w:val="nil"/>
              <w:tr2bl w:val="nil"/>
            </w:tcBorders>
            <w:vAlign w:val="center"/>
          </w:tcPr>
          <w:p w14:paraId="53969FE2">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2538</w:t>
            </w:r>
          </w:p>
        </w:tc>
        <w:tc>
          <w:tcPr>
            <w:tcW w:w="1704" w:type="dxa"/>
            <w:tcBorders>
              <w:tl2br w:val="nil"/>
              <w:tr2bl w:val="nil"/>
            </w:tcBorders>
            <w:vAlign w:val="center"/>
          </w:tcPr>
          <w:p w14:paraId="548082F5">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141</w:t>
            </w:r>
          </w:p>
        </w:tc>
        <w:tc>
          <w:tcPr>
            <w:tcW w:w="1692" w:type="dxa"/>
            <w:tcBorders>
              <w:tl2br w:val="nil"/>
              <w:tr2bl w:val="nil"/>
            </w:tcBorders>
            <w:vAlign w:val="center"/>
          </w:tcPr>
          <w:p w14:paraId="612CD362">
            <w:pPr>
              <w:overflowPunct w:val="0"/>
              <w:adjustRightInd w:val="0"/>
              <w:spacing w:after="0" w:line="320" w:lineRule="exact"/>
              <w:ind w:firstLine="360" w:firstLineChars="200"/>
              <w:jc w:val="center"/>
              <w:rPr>
                <w:rFonts w:asciiTheme="minorEastAsia" w:hAnsiTheme="minorEastAsia" w:eastAsiaTheme="minorEastAsia"/>
                <w:sz w:val="18"/>
                <w:szCs w:val="18"/>
              </w:rPr>
            </w:pPr>
          </w:p>
        </w:tc>
      </w:tr>
      <w:tr w14:paraId="5F780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101" w:type="dxa"/>
            <w:tcBorders>
              <w:tl2br w:val="nil"/>
              <w:tr2bl w:val="nil"/>
            </w:tcBorders>
            <w:vAlign w:val="center"/>
          </w:tcPr>
          <w:p w14:paraId="5E447000">
            <w:pPr>
              <w:overflowPunct w:val="0"/>
              <w:adjustRightInd w:val="0"/>
              <w:spacing w:after="0" w:line="320" w:lineRule="exact"/>
              <w:ind w:firstLine="360" w:firstLineChars="20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素质拓展</w:t>
            </w:r>
          </w:p>
        </w:tc>
        <w:tc>
          <w:tcPr>
            <w:tcW w:w="2194" w:type="dxa"/>
            <w:tcBorders>
              <w:tl2br w:val="nil"/>
              <w:tr2bl w:val="nil"/>
            </w:tcBorders>
            <w:vAlign w:val="center"/>
          </w:tcPr>
          <w:p w14:paraId="0289A8F0">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982</w:t>
            </w:r>
          </w:p>
        </w:tc>
        <w:tc>
          <w:tcPr>
            <w:tcW w:w="1704" w:type="dxa"/>
            <w:tcBorders>
              <w:tl2br w:val="nil"/>
              <w:tr2bl w:val="nil"/>
            </w:tcBorders>
            <w:vAlign w:val="center"/>
          </w:tcPr>
          <w:p w14:paraId="7622B91B">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33</w:t>
            </w:r>
          </w:p>
        </w:tc>
        <w:tc>
          <w:tcPr>
            <w:tcW w:w="1692" w:type="dxa"/>
            <w:tcBorders>
              <w:tl2br w:val="nil"/>
              <w:tr2bl w:val="nil"/>
            </w:tcBorders>
            <w:vAlign w:val="center"/>
          </w:tcPr>
          <w:p w14:paraId="2D242A50">
            <w:pPr>
              <w:overflowPunct w:val="0"/>
              <w:adjustRightInd w:val="0"/>
              <w:spacing w:after="0" w:line="320" w:lineRule="exact"/>
              <w:ind w:firstLine="360" w:firstLineChars="200"/>
              <w:jc w:val="both"/>
              <w:rPr>
                <w:rFonts w:asciiTheme="minorEastAsia" w:hAnsiTheme="minorEastAsia" w:eastAsiaTheme="minorEastAsia"/>
                <w:sz w:val="18"/>
                <w:szCs w:val="18"/>
              </w:rPr>
            </w:pPr>
          </w:p>
        </w:tc>
      </w:tr>
    </w:tbl>
    <w:p w14:paraId="19A5D287">
      <w:pPr>
        <w:ind w:firstLine="560" w:firstLineChars="200"/>
        <w:rPr>
          <w:rFonts w:ascii="黑体" w:hAnsi="黑体" w:eastAsia="黑体"/>
          <w:sz w:val="28"/>
          <w:szCs w:val="28"/>
        </w:rPr>
      </w:pPr>
      <w:r>
        <w:rPr>
          <w:rFonts w:hint="eastAsia" w:ascii="黑体" w:hAnsi="黑体" w:eastAsia="黑体"/>
          <w:sz w:val="28"/>
          <w:szCs w:val="28"/>
        </w:rPr>
        <w:t>（三）教学进程计划表</w:t>
      </w:r>
    </w:p>
    <w:p w14:paraId="098A518C">
      <w:pPr>
        <w:ind w:firstLine="560" w:firstLineChars="200"/>
        <w:rPr>
          <w:rFonts w:ascii="宋体"/>
          <w:sz w:val="28"/>
          <w:szCs w:val="28"/>
        </w:rPr>
      </w:pPr>
      <w:r>
        <w:rPr>
          <w:rFonts w:hint="eastAsia" w:ascii="宋体" w:hAnsi="宋体"/>
          <w:sz w:val="28"/>
          <w:szCs w:val="28"/>
        </w:rPr>
        <w:t>教学进程计划按照中职学段、高职学段分别开设，具体见附录。</w:t>
      </w:r>
    </w:p>
    <w:p w14:paraId="1A672CCC">
      <w:pPr>
        <w:ind w:firstLine="640" w:firstLineChars="200"/>
        <w:rPr>
          <w:rFonts w:ascii="黑体" w:hAnsi="黑体" w:eastAsia="黑体"/>
          <w:sz w:val="32"/>
          <w:szCs w:val="32"/>
        </w:rPr>
      </w:pPr>
      <w:r>
        <w:rPr>
          <w:rFonts w:hint="eastAsia" w:ascii="黑体" w:hAnsi="黑体" w:eastAsia="黑体"/>
          <w:sz w:val="32"/>
          <w:szCs w:val="32"/>
        </w:rPr>
        <w:t>（四）毕业作品及要求</w:t>
      </w:r>
    </w:p>
    <w:p w14:paraId="032E45C9">
      <w:pPr>
        <w:widowControl w:val="0"/>
        <w:spacing w:after="0" w:line="312" w:lineRule="auto"/>
        <w:ind w:firstLine="560" w:firstLineChars="200"/>
        <w:jc w:val="both"/>
        <w:rPr>
          <w:rFonts w:ascii="宋体" w:hAnsi="宋体" w:eastAsia="宋体" w:cs="宋体"/>
          <w:bCs/>
          <w:sz w:val="28"/>
          <w:szCs w:val="28"/>
        </w:rPr>
      </w:pPr>
      <w:r>
        <w:rPr>
          <w:rFonts w:hint="eastAsia" w:ascii="宋体" w:hAnsi="宋体" w:eastAsia="宋体" w:cs="宋体"/>
          <w:bCs/>
          <w:iCs/>
          <w:kern w:val="2"/>
          <w:sz w:val="28"/>
          <w:szCs w:val="28"/>
        </w:rPr>
        <w:t>以调研报告、手工账、分析报告等形式，重视财务管理专业学生创新创业、财务核算、岗位认知和财务分析、动手解决实际问题的能力，完成财务预算、商业计划书、创业计划书、财务分析报告、财务管理岗位研究报告、市场调查分析报告等，成绩评定必须为合格以上。请参考《毕业论文/作品工作规范（试行）》执行。</w:t>
      </w:r>
    </w:p>
    <w:p w14:paraId="2137E1ED">
      <w:pPr>
        <w:pStyle w:val="2"/>
        <w:snapToGrid w:val="0"/>
        <w:spacing w:before="156" w:beforeLines="50" w:after="156" w:afterLines="50" w:line="440" w:lineRule="exact"/>
        <w:ind w:left="584"/>
        <w:jc w:val="both"/>
        <w:rPr>
          <w:rFonts w:ascii="宋体" w:hAnsi="宋体" w:eastAsia="宋体" w:cs="宋体"/>
          <w:bCs/>
          <w:szCs w:val="28"/>
        </w:rPr>
      </w:pPr>
      <w:r>
        <w:rPr>
          <w:rFonts w:hint="eastAsia" w:ascii="宋体" w:hAnsi="宋体" w:eastAsia="宋体" w:cs="宋体"/>
          <w:bCs/>
          <w:szCs w:val="28"/>
        </w:rPr>
        <w:t>八、实施保障</w:t>
      </w:r>
      <w:bookmarkEnd w:id="106"/>
      <w:bookmarkEnd w:id="107"/>
      <w:bookmarkEnd w:id="108"/>
      <w:bookmarkEnd w:id="109"/>
      <w:bookmarkEnd w:id="110"/>
      <w:bookmarkEnd w:id="111"/>
    </w:p>
    <w:p w14:paraId="77E2F386">
      <w:pPr>
        <w:pStyle w:val="3"/>
        <w:spacing w:before="156" w:beforeLines="50" w:after="156" w:afterLines="50" w:line="440" w:lineRule="exact"/>
        <w:ind w:left="0" w:firstLine="562"/>
        <w:rPr>
          <w:sz w:val="28"/>
          <w:szCs w:val="28"/>
        </w:rPr>
      </w:pPr>
      <w:bookmarkStart w:id="117" w:name="_Toc3840"/>
      <w:bookmarkStart w:id="118" w:name="_Toc77885006"/>
      <w:bookmarkStart w:id="119" w:name="_Toc31194"/>
      <w:bookmarkStart w:id="120" w:name="_Toc77884804"/>
      <w:bookmarkStart w:id="121" w:name="_Toc5003"/>
      <w:bookmarkStart w:id="122" w:name="_Toc31952"/>
      <w:r>
        <w:rPr>
          <w:rFonts w:hint="eastAsia"/>
          <w:sz w:val="28"/>
          <w:szCs w:val="28"/>
        </w:rPr>
        <w:t>（一）师资队伍</w:t>
      </w:r>
      <w:bookmarkEnd w:id="117"/>
      <w:bookmarkEnd w:id="118"/>
      <w:bookmarkEnd w:id="119"/>
      <w:bookmarkEnd w:id="120"/>
      <w:bookmarkEnd w:id="121"/>
      <w:bookmarkEnd w:id="122"/>
    </w:p>
    <w:p w14:paraId="58A555E3">
      <w:pPr>
        <w:widowControl w:val="0"/>
        <w:spacing w:after="0" w:line="312" w:lineRule="auto"/>
        <w:ind w:firstLine="562" w:firstLineChars="200"/>
        <w:jc w:val="both"/>
        <w:rPr>
          <w:rFonts w:ascii="宋体" w:hAnsi="宋体" w:eastAsia="宋体" w:cs="宋体"/>
          <w:b/>
          <w:iCs/>
          <w:kern w:val="2"/>
          <w:sz w:val="28"/>
          <w:szCs w:val="28"/>
        </w:rPr>
      </w:pPr>
      <w:bookmarkStart w:id="123" w:name="_Toc347"/>
      <w:r>
        <w:rPr>
          <w:rFonts w:hint="eastAsia" w:ascii="宋体" w:hAnsi="宋体" w:eastAsia="宋体" w:cs="宋体"/>
          <w:b/>
          <w:iCs/>
          <w:kern w:val="2"/>
          <w:sz w:val="28"/>
          <w:szCs w:val="28"/>
        </w:rPr>
        <w:t>1.队伍结构</w:t>
      </w:r>
      <w:bookmarkEnd w:id="123"/>
    </w:p>
    <w:p w14:paraId="59DCC931">
      <w:pPr>
        <w:widowControl w:val="0"/>
        <w:spacing w:after="0" w:line="312" w:lineRule="auto"/>
        <w:ind w:firstLine="560" w:firstLineChars="200"/>
        <w:jc w:val="both"/>
        <w:rPr>
          <w:rFonts w:ascii="宋体" w:hAnsi="宋体" w:eastAsia="宋体" w:cs="宋体"/>
          <w:bCs/>
          <w:iCs/>
          <w:kern w:val="2"/>
          <w:sz w:val="28"/>
          <w:szCs w:val="28"/>
        </w:rPr>
      </w:pPr>
      <w:bookmarkStart w:id="124" w:name="_Toc3346"/>
      <w:r>
        <w:rPr>
          <w:rFonts w:hint="eastAsia" w:ascii="宋体" w:hAnsi="宋体" w:eastAsia="宋体" w:cs="宋体"/>
          <w:bCs/>
          <w:iCs/>
          <w:kern w:val="2"/>
          <w:sz w:val="28"/>
          <w:szCs w:val="28"/>
        </w:rPr>
        <w:t>学院会计信息管理专业现有从事公共基础课、专业课教学的专任教师 27 人，专业课教师 22人，其中高级职称12人，占比55%；中级职称10人，占比45%；本科以上学历100%，具有硕士学位的教师 5人，占比 23 %。生师比约为18：1.“双师型”教师占专业课教师的 100%。聘请了7位具有较高理论水平和丰富实践经验的行业能手担任兼职教师。专业教师中，市级专业带头人1人、院级专业带头人 3人、骨干教师 14人。目前已形成一支素质优良、结构合理、社会声誉高、充满活力的专兼结合的双师结构的教师队伍。今后学院将通过加强师资培训，选派教师赴企业实践、加大人才引进、外聘企业兼职教师等不断优化师资结构，提高教学团队的教学、科研和企业项目实践能力，以保障会计专业人才培养质量。</w:t>
      </w:r>
    </w:p>
    <w:p w14:paraId="061F53F1">
      <w:pPr>
        <w:widowControl w:val="0"/>
        <w:spacing w:after="0" w:line="312" w:lineRule="auto"/>
        <w:ind w:firstLine="562" w:firstLineChars="200"/>
        <w:jc w:val="both"/>
        <w:rPr>
          <w:rFonts w:ascii="宋体" w:hAnsi="宋体" w:eastAsia="宋体" w:cs="宋体"/>
          <w:b/>
          <w:iCs/>
          <w:kern w:val="2"/>
          <w:sz w:val="28"/>
          <w:szCs w:val="28"/>
        </w:rPr>
      </w:pPr>
      <w:r>
        <w:rPr>
          <w:rFonts w:hint="eastAsia" w:ascii="宋体" w:hAnsi="宋体" w:eastAsia="宋体" w:cs="宋体"/>
          <w:b/>
          <w:iCs/>
          <w:kern w:val="2"/>
          <w:sz w:val="28"/>
          <w:szCs w:val="28"/>
        </w:rPr>
        <w:t>2.专任教师</w:t>
      </w:r>
      <w:bookmarkEnd w:id="124"/>
    </w:p>
    <w:p w14:paraId="7AE3F0AE">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学院会计信息管理专业专任教师能够严格遵守师德规范，努力争做有理想信念、有道德情操、有扎实学识、有仁爱之心的“四有教师”。本专业教师均具有会计学、财务管理和相关专业本科及以上学历，其中研究生学历5人。均具有高校教师资格证书及会计专业技术资格证书。6人次参加了财会专业国家级骨干教师培训、省级骨干教师培训。本专业教师具有扎实的财会专业理论功底、信息化教学能力，能够胜任学院会计信息管理专业教学工作任务，能够开展课程教学改革和科学研究 ；本专业教师具有丰富的实践教学经验，能够通过参与校企合作指导学生赴企业工学交替实践、顶岗实习等，完成教师赴企业实践任务，开展教学实践。</w:t>
      </w:r>
      <w:bookmarkStart w:id="125" w:name="_Toc13477"/>
    </w:p>
    <w:p w14:paraId="159542E4">
      <w:pPr>
        <w:widowControl w:val="0"/>
        <w:spacing w:after="0" w:line="312" w:lineRule="auto"/>
        <w:ind w:firstLine="562" w:firstLineChars="200"/>
        <w:jc w:val="both"/>
        <w:rPr>
          <w:rFonts w:ascii="宋体" w:hAnsi="宋体" w:eastAsia="宋体" w:cs="宋体"/>
          <w:b/>
          <w:iCs/>
          <w:kern w:val="2"/>
          <w:sz w:val="28"/>
          <w:szCs w:val="28"/>
        </w:rPr>
      </w:pPr>
      <w:r>
        <w:rPr>
          <w:rFonts w:hint="eastAsia" w:ascii="宋体" w:hAnsi="宋体" w:eastAsia="宋体" w:cs="宋体"/>
          <w:b/>
          <w:iCs/>
          <w:kern w:val="2"/>
          <w:sz w:val="28"/>
          <w:szCs w:val="28"/>
        </w:rPr>
        <w:t>3.专业带头人</w:t>
      </w:r>
      <w:bookmarkEnd w:id="125"/>
    </w:p>
    <w:p w14:paraId="1A33EC16">
      <w:pPr>
        <w:widowControl w:val="0"/>
        <w:spacing w:after="0" w:line="312" w:lineRule="auto"/>
        <w:ind w:firstLine="560" w:firstLineChars="200"/>
        <w:jc w:val="both"/>
        <w:rPr>
          <w:rFonts w:ascii="宋体" w:hAnsi="宋体" w:eastAsia="宋体" w:cs="宋体"/>
          <w:bCs/>
          <w:iCs/>
          <w:kern w:val="2"/>
          <w:sz w:val="28"/>
          <w:szCs w:val="28"/>
        </w:rPr>
      </w:pPr>
      <w:bookmarkStart w:id="126" w:name="_Toc1780"/>
      <w:r>
        <w:rPr>
          <w:rFonts w:hint="eastAsia" w:ascii="宋体" w:hAnsi="宋体" w:eastAsia="宋体" w:cs="宋体"/>
          <w:bCs/>
          <w:iCs/>
          <w:kern w:val="2"/>
          <w:sz w:val="28"/>
          <w:szCs w:val="28"/>
        </w:rPr>
        <w:t>专业带头人具有副高及以上职称，能够较好地把握国内外财会行业、专业发展，能广泛联系行业企业，了解行业企业对本专业人才的需求实际，教学设计；专业带头人专业研究能力强、组织开展教科研工作能力强，在本区域或本领域具有一定的专业影响力。学院将通过支持专业带头人参加国内外进修培训、参与企业产学研实践、参与课题研究，辅导学生技能竞赛、编写校本教材、开发课程资源等多种途径，不断提升专业带头人的理论水平、技术能力和教学能力，带动专业教学团队建设，在专业建设与课程改革中发挥重要作用。</w:t>
      </w:r>
    </w:p>
    <w:p w14:paraId="54F4D7DD">
      <w:pPr>
        <w:widowControl w:val="0"/>
        <w:spacing w:after="0" w:line="312" w:lineRule="auto"/>
        <w:ind w:firstLine="562" w:firstLineChars="200"/>
        <w:jc w:val="both"/>
        <w:rPr>
          <w:rFonts w:ascii="宋体" w:hAnsi="宋体" w:eastAsia="宋体" w:cs="宋体"/>
          <w:b/>
          <w:iCs/>
          <w:kern w:val="2"/>
          <w:sz w:val="28"/>
          <w:szCs w:val="28"/>
        </w:rPr>
      </w:pPr>
      <w:r>
        <w:rPr>
          <w:rFonts w:hint="eastAsia" w:ascii="宋体" w:hAnsi="宋体" w:eastAsia="宋体" w:cs="宋体"/>
          <w:b/>
          <w:iCs/>
          <w:kern w:val="2"/>
          <w:sz w:val="28"/>
          <w:szCs w:val="28"/>
        </w:rPr>
        <w:t>4.兼职教师</w:t>
      </w:r>
      <w:bookmarkEnd w:id="126"/>
    </w:p>
    <w:p w14:paraId="500A2B40">
      <w:pPr>
        <w:widowControl w:val="0"/>
        <w:spacing w:after="0" w:line="312" w:lineRule="auto"/>
        <w:ind w:firstLine="560" w:firstLineChars="200"/>
        <w:jc w:val="both"/>
        <w:rPr>
          <w:rFonts w:ascii="宋体" w:hAnsi="宋体" w:eastAsia="宋体" w:cs="宋体"/>
          <w:bCs/>
          <w:iCs/>
          <w:kern w:val="2"/>
          <w:sz w:val="28"/>
          <w:szCs w:val="28"/>
        </w:rPr>
      </w:pPr>
      <w:bookmarkStart w:id="127" w:name="_Toc30861"/>
      <w:bookmarkStart w:id="128" w:name="_Toc27943"/>
      <w:bookmarkStart w:id="129" w:name="_Toc77885007"/>
      <w:bookmarkStart w:id="130" w:name="_Toc77884805"/>
      <w:bookmarkStart w:id="131" w:name="_Toc17000"/>
      <w:r>
        <w:rPr>
          <w:rFonts w:hint="eastAsia" w:ascii="宋体" w:hAnsi="宋体" w:eastAsia="宋体" w:cs="宋体"/>
          <w:bCs/>
          <w:iCs/>
          <w:kern w:val="2"/>
          <w:sz w:val="28"/>
          <w:szCs w:val="28"/>
        </w:rPr>
        <w:t>为了补充学院会计信息管理专业师资不足，优化师资队伍结构，提升财会专业教学团队的整体素质，根据专业教学需要，学院建立财会专业兼职教师库，根据每学期专业教学实践需要，从本专业相关的行业企业聘任具备良好的思想政治素质、职业道德和工匠精神，具有扎实的专业知识和丰富的实际工作经验，具有中级及以上相关专业职称，能承担专业课程教学、实习实训指导和学生职业发展规划指导等教学任务的兼职教师，并加强兼职教师培养，支持兼职教师参与专业建设、实训基地建设、产学研实践等。</w:t>
      </w:r>
    </w:p>
    <w:p w14:paraId="312A1AA8">
      <w:pPr>
        <w:widowControl w:val="0"/>
        <w:spacing w:after="0" w:line="312" w:lineRule="auto"/>
        <w:ind w:firstLine="562" w:firstLineChars="200"/>
        <w:jc w:val="both"/>
        <w:rPr>
          <w:rFonts w:ascii="宋体" w:hAnsi="宋体" w:eastAsia="宋体" w:cs="宋体"/>
          <w:b/>
          <w:iCs/>
          <w:kern w:val="2"/>
          <w:sz w:val="28"/>
          <w:szCs w:val="28"/>
          <w:lang w:val="zh-CN"/>
        </w:rPr>
      </w:pPr>
      <w:bookmarkStart w:id="132" w:name="_Toc5077"/>
      <w:r>
        <w:rPr>
          <w:rFonts w:hint="eastAsia" w:ascii="宋体" w:hAnsi="宋体" w:eastAsia="宋体" w:cs="宋体"/>
          <w:b/>
          <w:iCs/>
          <w:kern w:val="2"/>
          <w:sz w:val="28"/>
          <w:szCs w:val="28"/>
          <w:lang w:val="zh-CN"/>
        </w:rPr>
        <w:t>（二）教学设施</w:t>
      </w:r>
      <w:bookmarkEnd w:id="127"/>
      <w:bookmarkEnd w:id="128"/>
      <w:bookmarkEnd w:id="129"/>
      <w:bookmarkEnd w:id="130"/>
      <w:bookmarkEnd w:id="131"/>
      <w:bookmarkEnd w:id="132"/>
    </w:p>
    <w:p w14:paraId="374D61CB">
      <w:pPr>
        <w:widowControl w:val="0"/>
        <w:spacing w:after="0" w:line="312" w:lineRule="auto"/>
        <w:ind w:firstLine="562" w:firstLineChars="200"/>
        <w:jc w:val="both"/>
        <w:rPr>
          <w:rFonts w:ascii="宋体" w:hAnsi="宋体" w:eastAsia="宋体" w:cs="宋体"/>
          <w:b/>
          <w:iCs/>
          <w:kern w:val="2"/>
          <w:sz w:val="28"/>
          <w:szCs w:val="28"/>
        </w:rPr>
      </w:pPr>
      <w:bookmarkStart w:id="133" w:name="_Toc22701"/>
      <w:r>
        <w:rPr>
          <w:rFonts w:hint="eastAsia" w:ascii="宋体" w:hAnsi="宋体" w:eastAsia="宋体" w:cs="宋体"/>
          <w:b/>
          <w:iCs/>
          <w:kern w:val="2"/>
          <w:sz w:val="28"/>
          <w:szCs w:val="28"/>
        </w:rPr>
        <w:t>1.具备的专业教室条件</w:t>
      </w:r>
      <w:bookmarkEnd w:id="133"/>
    </w:p>
    <w:p w14:paraId="2EAD7C84">
      <w:pPr>
        <w:widowControl w:val="0"/>
        <w:spacing w:after="0" w:line="312"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每个教学班均配备电子白板、多媒体计算机、投影设备、音响设备，互联网接入或WiFi环境，并具有网络安全防护措施。安装应急照明装置并保持良好状态，符合紧急疏散要求、标志明显、保持逃生通道畅通无阻。</w:t>
      </w:r>
    </w:p>
    <w:p w14:paraId="508EB0A4">
      <w:pPr>
        <w:widowControl w:val="0"/>
        <w:spacing w:after="0" w:line="312" w:lineRule="auto"/>
        <w:ind w:firstLine="562" w:firstLineChars="200"/>
        <w:jc w:val="both"/>
        <w:rPr>
          <w:rFonts w:ascii="宋体" w:hAnsi="宋体" w:eastAsia="宋体" w:cs="宋体"/>
          <w:b/>
          <w:sz w:val="28"/>
          <w:szCs w:val="28"/>
        </w:rPr>
      </w:pPr>
      <w:bookmarkStart w:id="134" w:name="_Toc32502"/>
      <w:r>
        <w:rPr>
          <w:rFonts w:hint="eastAsia" w:ascii="宋体" w:hAnsi="宋体" w:eastAsia="宋体" w:cs="宋体"/>
          <w:b/>
          <w:iCs/>
          <w:kern w:val="2"/>
          <w:sz w:val="28"/>
          <w:szCs w:val="28"/>
        </w:rPr>
        <w:t>2.本专业校内实训室条件</w:t>
      </w:r>
      <w:bookmarkEnd w:id="134"/>
    </w:p>
    <w:tbl>
      <w:tblPr>
        <w:tblStyle w:val="1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2443"/>
        <w:gridCol w:w="6053"/>
      </w:tblGrid>
      <w:tr w14:paraId="6F7C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92" w:type="dxa"/>
            <w:tcBorders>
              <w:tl2br w:val="nil"/>
              <w:tr2bl w:val="nil"/>
            </w:tcBorders>
            <w:shd w:val="clear" w:color="auto" w:fill="D9E2F3" w:themeFill="accent5" w:themeFillTint="33"/>
            <w:vAlign w:val="center"/>
          </w:tcPr>
          <w:p w14:paraId="0D1B5182">
            <w:pPr>
              <w:overflowPunct w:val="0"/>
              <w:adjustRightInd w:val="0"/>
              <w:spacing w:after="0" w:line="320" w:lineRule="exact"/>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序号</w:t>
            </w:r>
          </w:p>
        </w:tc>
        <w:tc>
          <w:tcPr>
            <w:tcW w:w="2443" w:type="dxa"/>
            <w:tcBorders>
              <w:tl2br w:val="nil"/>
              <w:tr2bl w:val="nil"/>
            </w:tcBorders>
            <w:shd w:val="clear" w:color="auto" w:fill="D9E2F3" w:themeFill="accent5" w:themeFillTint="33"/>
            <w:vAlign w:val="center"/>
          </w:tcPr>
          <w:p w14:paraId="6C12981A">
            <w:pPr>
              <w:overflowPunct w:val="0"/>
              <w:adjustRightInd w:val="0"/>
              <w:spacing w:after="0" w:line="320" w:lineRule="exact"/>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实训室名称</w:t>
            </w:r>
          </w:p>
        </w:tc>
        <w:tc>
          <w:tcPr>
            <w:tcW w:w="6053" w:type="dxa"/>
            <w:tcBorders>
              <w:tl2br w:val="nil"/>
              <w:tr2bl w:val="nil"/>
            </w:tcBorders>
            <w:shd w:val="clear" w:color="auto" w:fill="D9E2F3" w:themeFill="accent5" w:themeFillTint="33"/>
            <w:vAlign w:val="center"/>
          </w:tcPr>
          <w:p w14:paraId="20622046">
            <w:pPr>
              <w:overflowPunct w:val="0"/>
              <w:adjustRightInd w:val="0"/>
              <w:spacing w:after="0" w:line="320" w:lineRule="exact"/>
              <w:jc w:val="center"/>
              <w:rPr>
                <w:rFonts w:asciiTheme="minorEastAsia" w:hAnsiTheme="minorEastAsia" w:eastAsiaTheme="minorEastAsia"/>
                <w:b/>
                <w:sz w:val="18"/>
                <w:szCs w:val="18"/>
              </w:rPr>
            </w:pPr>
            <w:r>
              <w:rPr>
                <w:rFonts w:hint="eastAsia" w:asciiTheme="minorEastAsia" w:hAnsiTheme="minorEastAsia" w:eastAsiaTheme="minorEastAsia"/>
                <w:b/>
                <w:sz w:val="18"/>
                <w:szCs w:val="18"/>
              </w:rPr>
              <w:t>实训室功能简介</w:t>
            </w:r>
          </w:p>
        </w:tc>
      </w:tr>
      <w:tr w14:paraId="0294F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792" w:type="dxa"/>
            <w:tcBorders>
              <w:tl2br w:val="nil"/>
              <w:tr2bl w:val="nil"/>
            </w:tcBorders>
            <w:shd w:val="clear" w:color="auto" w:fill="auto"/>
            <w:vAlign w:val="center"/>
          </w:tcPr>
          <w:p w14:paraId="23419C20">
            <w:pPr>
              <w:spacing w:after="0" w:line="320" w:lineRule="exact"/>
              <w:jc w:val="center"/>
              <w:rPr>
                <w:rFonts w:cs="宋体" w:asciiTheme="minorEastAsia" w:hAnsiTheme="minorEastAsia" w:eastAsiaTheme="minorEastAsia"/>
                <w:color w:val="FF0000"/>
                <w:sz w:val="18"/>
                <w:szCs w:val="18"/>
              </w:rPr>
            </w:pPr>
            <w:r>
              <w:rPr>
                <w:rFonts w:hint="eastAsia" w:cs="宋体" w:asciiTheme="minorEastAsia" w:hAnsiTheme="minorEastAsia" w:eastAsiaTheme="minorEastAsia"/>
                <w:sz w:val="18"/>
                <w:szCs w:val="18"/>
              </w:rPr>
              <w:t>1</w:t>
            </w:r>
          </w:p>
        </w:tc>
        <w:tc>
          <w:tcPr>
            <w:tcW w:w="2443" w:type="dxa"/>
            <w:tcBorders>
              <w:tl2br w:val="nil"/>
              <w:tr2bl w:val="nil"/>
            </w:tcBorders>
            <w:shd w:val="clear" w:color="auto" w:fill="auto"/>
            <w:vAlign w:val="center"/>
          </w:tcPr>
          <w:p w14:paraId="270F4ADF">
            <w:pPr>
              <w:spacing w:after="0" w:line="320" w:lineRule="exact"/>
              <w:jc w:val="center"/>
              <w:rPr>
                <w:rFonts w:cs="宋体" w:asciiTheme="minorEastAsia" w:hAnsiTheme="minorEastAsia" w:eastAsiaTheme="minorEastAsia"/>
                <w:sz w:val="18"/>
                <w:szCs w:val="18"/>
              </w:rPr>
            </w:pPr>
            <w:r>
              <w:rPr>
                <w:rFonts w:hint="eastAsia" w:cs="仿宋" w:asciiTheme="minorEastAsia" w:hAnsiTheme="minorEastAsia" w:eastAsiaTheme="minorEastAsia"/>
                <w:sz w:val="18"/>
                <w:szCs w:val="18"/>
              </w:rPr>
              <w:t>用友会计信息化系统实训室</w:t>
            </w:r>
          </w:p>
        </w:tc>
        <w:tc>
          <w:tcPr>
            <w:tcW w:w="6053" w:type="dxa"/>
            <w:tcBorders>
              <w:tl2br w:val="nil"/>
              <w:tr2bl w:val="nil"/>
            </w:tcBorders>
            <w:shd w:val="clear" w:color="auto" w:fill="auto"/>
            <w:vAlign w:val="center"/>
          </w:tcPr>
          <w:p w14:paraId="10B81F49">
            <w:pPr>
              <w:adjustRightInd w:val="0"/>
              <w:snapToGrid w:val="0"/>
              <w:spacing w:after="0" w:line="320" w:lineRule="exact"/>
              <w:ind w:firstLine="360" w:firstLineChars="200"/>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本实训室有45个工位能够承担我校财会专业会计电算化实训，安装用友U8.ERP财务软件,主要完成账套初始化设置、总账会计、薪资管理、固定资产、供应链等模块实训</w:t>
            </w:r>
          </w:p>
        </w:tc>
      </w:tr>
      <w:tr w14:paraId="49A61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792" w:type="dxa"/>
            <w:tcBorders>
              <w:tl2br w:val="nil"/>
              <w:tr2bl w:val="nil"/>
            </w:tcBorders>
            <w:shd w:val="clear" w:color="auto" w:fill="auto"/>
            <w:vAlign w:val="center"/>
          </w:tcPr>
          <w:p w14:paraId="27F83915">
            <w:pPr>
              <w:spacing w:after="0" w:line="320" w:lineRule="exact"/>
              <w:jc w:val="center"/>
              <w:rPr>
                <w:rFonts w:cs="宋体" w:asciiTheme="minorEastAsia" w:hAnsiTheme="minorEastAsia" w:eastAsiaTheme="minorEastAsia"/>
                <w:color w:val="FF0000"/>
                <w:sz w:val="18"/>
                <w:szCs w:val="18"/>
              </w:rPr>
            </w:pPr>
            <w:r>
              <w:rPr>
                <w:rFonts w:hint="eastAsia" w:cs="宋体" w:asciiTheme="minorEastAsia" w:hAnsiTheme="minorEastAsia" w:eastAsiaTheme="minorEastAsia"/>
                <w:sz w:val="18"/>
                <w:szCs w:val="18"/>
              </w:rPr>
              <w:t>2</w:t>
            </w:r>
          </w:p>
        </w:tc>
        <w:tc>
          <w:tcPr>
            <w:tcW w:w="2443" w:type="dxa"/>
            <w:tcBorders>
              <w:tl2br w:val="nil"/>
              <w:tr2bl w:val="nil"/>
            </w:tcBorders>
            <w:shd w:val="clear" w:color="auto" w:fill="auto"/>
            <w:vAlign w:val="center"/>
          </w:tcPr>
          <w:p w14:paraId="78B2A961">
            <w:pPr>
              <w:spacing w:after="0" w:line="320" w:lineRule="exact"/>
              <w:jc w:val="both"/>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会计基本技能实训</w:t>
            </w:r>
          </w:p>
        </w:tc>
        <w:tc>
          <w:tcPr>
            <w:tcW w:w="6053" w:type="dxa"/>
            <w:tcBorders>
              <w:tl2br w:val="nil"/>
              <w:tr2bl w:val="nil"/>
            </w:tcBorders>
            <w:shd w:val="clear" w:color="auto" w:fill="auto"/>
            <w:vAlign w:val="center"/>
          </w:tcPr>
          <w:p w14:paraId="7918DB68">
            <w:pPr>
              <w:adjustRightInd w:val="0"/>
              <w:snapToGrid w:val="0"/>
              <w:spacing w:after="0" w:line="320" w:lineRule="exact"/>
              <w:ind w:firstLine="360" w:firstLineChars="200"/>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本实训室有50个工位，配备练功券、传票、翰林提、点钞机等实训设备，主要完成会计基本技能实训</w:t>
            </w:r>
          </w:p>
        </w:tc>
      </w:tr>
      <w:tr w14:paraId="5E239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792" w:type="dxa"/>
            <w:tcBorders>
              <w:tl2br w:val="nil"/>
              <w:tr2bl w:val="nil"/>
            </w:tcBorders>
            <w:vAlign w:val="center"/>
          </w:tcPr>
          <w:p w14:paraId="03E60051">
            <w:pPr>
              <w:spacing w:after="0" w:line="320" w:lineRule="exact"/>
              <w:jc w:val="center"/>
              <w:rPr>
                <w:rFonts w:cs="宋体" w:asciiTheme="minorEastAsia" w:hAnsiTheme="minorEastAsia" w:eastAsiaTheme="minorEastAsia"/>
                <w:color w:val="FF0000"/>
                <w:sz w:val="18"/>
                <w:szCs w:val="18"/>
              </w:rPr>
            </w:pPr>
            <w:r>
              <w:rPr>
                <w:rFonts w:hint="eastAsia" w:cs="宋体" w:asciiTheme="minorEastAsia" w:hAnsiTheme="minorEastAsia" w:eastAsiaTheme="minorEastAsia"/>
                <w:sz w:val="18"/>
                <w:szCs w:val="18"/>
              </w:rPr>
              <w:t>3</w:t>
            </w:r>
          </w:p>
        </w:tc>
        <w:tc>
          <w:tcPr>
            <w:tcW w:w="2443" w:type="dxa"/>
            <w:tcBorders>
              <w:tl2br w:val="nil"/>
              <w:tr2bl w:val="nil"/>
            </w:tcBorders>
            <w:shd w:val="clear" w:color="auto" w:fill="auto"/>
            <w:vAlign w:val="center"/>
          </w:tcPr>
          <w:p w14:paraId="29A6E211">
            <w:pPr>
              <w:adjustRightInd w:val="0"/>
              <w:snapToGrid w:val="0"/>
              <w:spacing w:after="0" w:line="320" w:lineRule="exact"/>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财税一体化实训室</w:t>
            </w:r>
          </w:p>
        </w:tc>
        <w:tc>
          <w:tcPr>
            <w:tcW w:w="6053" w:type="dxa"/>
            <w:tcBorders>
              <w:tl2br w:val="nil"/>
              <w:tr2bl w:val="nil"/>
            </w:tcBorders>
            <w:vAlign w:val="center"/>
          </w:tcPr>
          <w:p w14:paraId="023B7A53">
            <w:pPr>
              <w:adjustRightInd w:val="0"/>
              <w:snapToGrid w:val="0"/>
              <w:spacing w:after="0" w:line="320" w:lineRule="exact"/>
              <w:ind w:firstLine="360" w:firstLineChars="200"/>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本实训室有45个工位，面向财经专业群设置，能够进行跨专业多岗位综合实训。实训室将会计专业涉及的上下游岗位与岗位群串联起来，将会计、工商局、税务局、银行、海关、社保局、外汇局等多个外部单位融合在一起，模拟了一家企业从筹建期到经营期的全过程业务，打破了资源、时间、空间的限制，全面模拟了一个真实的商业社会。学生可根据教师设置的实训岗位，通过扮演不同部门、不同企业、不同角色岗位，体验企业财务体系全流程作业，接受全方位、系统性、立体化的知识应用和能力训练，从而获得职业综合能力的提升，成为一名具有核算、监督、报税、数据分析、判断和决策等综合能力的专业精英人才，同时具备财务相关联岗位技能的应用型人才。</w:t>
            </w:r>
          </w:p>
          <w:p w14:paraId="3ED074F4">
            <w:pPr>
              <w:adjustRightInd w:val="0"/>
              <w:snapToGrid w:val="0"/>
              <w:spacing w:after="0" w:line="320" w:lineRule="exact"/>
              <w:ind w:firstLine="360" w:firstLineChars="200"/>
              <w:rPr>
                <w:rFonts w:cs="仿宋" w:asciiTheme="minorEastAsia" w:hAnsiTheme="minorEastAsia" w:eastAsiaTheme="minorEastAsia"/>
                <w:sz w:val="18"/>
                <w:szCs w:val="18"/>
              </w:rPr>
            </w:pPr>
          </w:p>
        </w:tc>
      </w:tr>
      <w:tr w14:paraId="5814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792" w:type="dxa"/>
            <w:tcBorders>
              <w:tl2br w:val="nil"/>
              <w:tr2bl w:val="nil"/>
            </w:tcBorders>
            <w:vAlign w:val="center"/>
          </w:tcPr>
          <w:p w14:paraId="15FE2346">
            <w:pPr>
              <w:spacing w:after="0" w:line="320" w:lineRule="exact"/>
              <w:jc w:val="center"/>
              <w:rPr>
                <w:rFonts w:cs="宋体" w:asciiTheme="minorEastAsia" w:hAnsiTheme="minorEastAsia" w:eastAsiaTheme="minorEastAsia"/>
                <w:color w:val="FF0000"/>
                <w:sz w:val="18"/>
                <w:szCs w:val="18"/>
              </w:rPr>
            </w:pPr>
            <w:r>
              <w:rPr>
                <w:rFonts w:hint="eastAsia" w:cs="宋体" w:asciiTheme="minorEastAsia" w:hAnsiTheme="minorEastAsia" w:eastAsiaTheme="minorEastAsia"/>
                <w:sz w:val="18"/>
                <w:szCs w:val="18"/>
              </w:rPr>
              <w:t>4</w:t>
            </w:r>
          </w:p>
        </w:tc>
        <w:tc>
          <w:tcPr>
            <w:tcW w:w="2443" w:type="dxa"/>
            <w:tcBorders>
              <w:tl2br w:val="nil"/>
              <w:tr2bl w:val="nil"/>
            </w:tcBorders>
            <w:shd w:val="clear" w:color="auto" w:fill="auto"/>
            <w:vAlign w:val="center"/>
          </w:tcPr>
          <w:p w14:paraId="519BF637">
            <w:pPr>
              <w:adjustRightInd w:val="0"/>
              <w:snapToGrid w:val="0"/>
              <w:spacing w:after="0" w:line="320" w:lineRule="exact"/>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沙盘模拟企业经营实训室</w:t>
            </w:r>
          </w:p>
        </w:tc>
        <w:tc>
          <w:tcPr>
            <w:tcW w:w="6053" w:type="dxa"/>
            <w:tcBorders>
              <w:tl2br w:val="nil"/>
              <w:tr2bl w:val="nil"/>
            </w:tcBorders>
            <w:vAlign w:val="center"/>
          </w:tcPr>
          <w:p w14:paraId="67418840">
            <w:pPr>
              <w:adjustRightInd w:val="0"/>
              <w:snapToGrid w:val="0"/>
              <w:spacing w:after="0" w:line="320" w:lineRule="exact"/>
              <w:ind w:firstLine="180" w:firstLineChars="100"/>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本实训室有10个工位可供40人训练，主要完成要利用沙盘的各种应用工具，通过</w:t>
            </w:r>
            <w:r>
              <w:rPr>
                <w:rFonts w:hint="eastAsia"/>
                <w:sz w:val="18"/>
                <w:szCs w:val="18"/>
              </w:rPr>
              <w:t>角色扮演、情景演练以及对企业经营管理的模拟，</w:t>
            </w:r>
            <w:r>
              <w:rPr>
                <w:rFonts w:hint="eastAsia" w:cs="仿宋" w:asciiTheme="minorEastAsia" w:hAnsiTheme="minorEastAsia" w:eastAsiaTheme="minorEastAsia"/>
                <w:sz w:val="18"/>
                <w:szCs w:val="18"/>
              </w:rPr>
              <w:t>介绍沙盘模拟比赛的常用战术、战略，</w:t>
            </w:r>
            <w:r>
              <w:rPr>
                <w:rFonts w:hint="eastAsia"/>
                <w:sz w:val="18"/>
                <w:szCs w:val="18"/>
              </w:rPr>
              <w:t>培养学生团队精神和全面提升管理能力。</w:t>
            </w:r>
          </w:p>
        </w:tc>
      </w:tr>
      <w:tr w14:paraId="007C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2" w:type="dxa"/>
            <w:tcBorders>
              <w:tl2br w:val="nil"/>
              <w:tr2bl w:val="nil"/>
            </w:tcBorders>
            <w:vAlign w:val="center"/>
          </w:tcPr>
          <w:p w14:paraId="358DD9DC">
            <w:pPr>
              <w:spacing w:after="0" w:line="320" w:lineRule="exact"/>
              <w:jc w:val="center"/>
              <w:rPr>
                <w:rFonts w:cs="宋体" w:asciiTheme="minorEastAsia" w:hAnsiTheme="minorEastAsia" w:eastAsiaTheme="minorEastAsia"/>
                <w:color w:val="FF0000"/>
                <w:sz w:val="18"/>
                <w:szCs w:val="18"/>
              </w:rPr>
            </w:pPr>
            <w:r>
              <w:rPr>
                <w:rFonts w:hint="eastAsia" w:cs="宋体" w:asciiTheme="minorEastAsia" w:hAnsiTheme="minorEastAsia" w:eastAsiaTheme="minorEastAsia"/>
                <w:sz w:val="18"/>
                <w:szCs w:val="18"/>
              </w:rPr>
              <w:t>5</w:t>
            </w:r>
          </w:p>
        </w:tc>
        <w:tc>
          <w:tcPr>
            <w:tcW w:w="2443" w:type="dxa"/>
            <w:tcBorders>
              <w:tl2br w:val="nil"/>
              <w:tr2bl w:val="nil"/>
            </w:tcBorders>
            <w:vAlign w:val="center"/>
          </w:tcPr>
          <w:p w14:paraId="1DEBAA96">
            <w:pPr>
              <w:adjustRightInd w:val="0"/>
              <w:snapToGrid w:val="0"/>
              <w:spacing w:after="0" w:line="320" w:lineRule="exact"/>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财会职业能力养成教学中心</w:t>
            </w:r>
          </w:p>
        </w:tc>
        <w:tc>
          <w:tcPr>
            <w:tcW w:w="6053" w:type="dxa"/>
            <w:tcBorders>
              <w:tl2br w:val="nil"/>
              <w:tr2bl w:val="nil"/>
            </w:tcBorders>
            <w:vAlign w:val="center"/>
          </w:tcPr>
          <w:p w14:paraId="74FBF1EA">
            <w:pPr>
              <w:adjustRightInd w:val="0"/>
              <w:snapToGrid w:val="0"/>
              <w:spacing w:after="0" w:line="320" w:lineRule="exact"/>
              <w:ind w:firstLine="360" w:firstLineChars="200"/>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财会职业能力养成平台综合实训室有45个工位，通过虚拟仿真实物工作环境，现实务工作流程和工作内容，业务、账务、税务融合成一个整体，透过现代经济社会的典型行业主体案例，以经济业务发生为主线，将财务各项工作结合起来，实现流程串联、数据关联、逻辑联通、操作互联，以无缝链接企业会计岗位工作，多元化培养学生财税相关技能。在实践中提升职业胜任力，助力财会专业学生打通就业最后一公里。</w:t>
            </w:r>
          </w:p>
        </w:tc>
      </w:tr>
      <w:tr w14:paraId="1D7DD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792" w:type="dxa"/>
            <w:tcBorders>
              <w:tl2br w:val="nil"/>
              <w:tr2bl w:val="nil"/>
            </w:tcBorders>
            <w:vAlign w:val="center"/>
          </w:tcPr>
          <w:p w14:paraId="44FCCFC0">
            <w:pPr>
              <w:spacing w:after="0" w:line="320" w:lineRule="exact"/>
              <w:jc w:val="center"/>
              <w:rPr>
                <w:rFonts w:cs="宋体" w:asciiTheme="minorEastAsia" w:hAnsiTheme="minorEastAsia" w:eastAsiaTheme="minorEastAsia"/>
                <w:sz w:val="18"/>
                <w:szCs w:val="18"/>
              </w:rPr>
            </w:pPr>
            <w:bookmarkStart w:id="135" w:name="_Toc18399"/>
            <w:r>
              <w:rPr>
                <w:rFonts w:hint="eastAsia" w:cs="宋体" w:asciiTheme="minorEastAsia" w:hAnsiTheme="minorEastAsia" w:eastAsiaTheme="minorEastAsia"/>
                <w:sz w:val="18"/>
                <w:szCs w:val="18"/>
              </w:rPr>
              <w:t>6</w:t>
            </w:r>
          </w:p>
        </w:tc>
        <w:tc>
          <w:tcPr>
            <w:tcW w:w="2443" w:type="dxa"/>
            <w:tcBorders>
              <w:tl2br w:val="nil"/>
              <w:tr2bl w:val="nil"/>
            </w:tcBorders>
            <w:vAlign w:val="center"/>
          </w:tcPr>
          <w:p w14:paraId="31BAD0B8">
            <w:pPr>
              <w:adjustRightInd w:val="0"/>
              <w:snapToGrid w:val="0"/>
              <w:spacing w:after="0" w:line="320" w:lineRule="exact"/>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大数据实训室</w:t>
            </w:r>
          </w:p>
        </w:tc>
        <w:tc>
          <w:tcPr>
            <w:tcW w:w="6053" w:type="dxa"/>
            <w:tcBorders>
              <w:tl2br w:val="nil"/>
              <w:tr2bl w:val="nil"/>
            </w:tcBorders>
            <w:vAlign w:val="center"/>
          </w:tcPr>
          <w:p w14:paraId="66E5EB39">
            <w:pPr>
              <w:adjustRightInd w:val="0"/>
              <w:snapToGrid w:val="0"/>
              <w:spacing w:after="0" w:line="320" w:lineRule="exact"/>
              <w:ind w:firstLine="360" w:firstLineChars="200"/>
              <w:rPr>
                <w:rFonts w:cs="仿宋" w:asciiTheme="minorEastAsia" w:hAnsiTheme="minorEastAsia" w:eastAsiaTheme="minorEastAsia"/>
                <w:sz w:val="18"/>
                <w:szCs w:val="18"/>
              </w:rPr>
            </w:pPr>
            <w:r>
              <w:rPr>
                <w:rFonts w:hint="eastAsia" w:cs="仿宋" w:asciiTheme="minorEastAsia" w:hAnsiTheme="minorEastAsia" w:eastAsiaTheme="minorEastAsia"/>
                <w:sz w:val="18"/>
                <w:szCs w:val="18"/>
              </w:rPr>
              <w:t>本实训室有60个工位能够承担我校财会专业、金融专业实习实训</w:t>
            </w:r>
          </w:p>
        </w:tc>
      </w:tr>
    </w:tbl>
    <w:p w14:paraId="7F6FC4C0">
      <w:pPr>
        <w:widowControl w:val="0"/>
        <w:spacing w:after="0" w:line="312" w:lineRule="auto"/>
        <w:ind w:firstLine="562" w:firstLineChars="200"/>
        <w:jc w:val="both"/>
        <w:rPr>
          <w:rFonts w:ascii="宋体" w:hAnsi="宋体" w:eastAsia="宋体" w:cs="宋体"/>
          <w:b/>
          <w:iCs/>
          <w:kern w:val="2"/>
          <w:sz w:val="28"/>
          <w:szCs w:val="28"/>
        </w:rPr>
      </w:pPr>
      <w:r>
        <w:rPr>
          <w:rFonts w:hint="eastAsia" w:ascii="宋体" w:hAnsi="宋体" w:eastAsia="宋体" w:cs="宋体"/>
          <w:b/>
          <w:iCs/>
          <w:kern w:val="2"/>
          <w:sz w:val="28"/>
          <w:szCs w:val="28"/>
        </w:rPr>
        <w:t>3.本专业校外实训基地建设情况</w:t>
      </w:r>
      <w:bookmarkEnd w:id="135"/>
    </w:p>
    <w:p w14:paraId="7DDBE3C5">
      <w:pPr>
        <w:widowControl w:val="0"/>
        <w:spacing w:after="0" w:line="360" w:lineRule="auto"/>
        <w:ind w:firstLine="560" w:firstLineChars="200"/>
        <w:jc w:val="both"/>
        <w:rPr>
          <w:rFonts w:ascii="Times New Roman" w:hAnsi="Times New Roman" w:cs="Times New Roman" w:eastAsiaTheme="minorEastAsia"/>
          <w:sz w:val="24"/>
          <w:szCs w:val="24"/>
        </w:rPr>
      </w:pPr>
      <w:r>
        <w:rPr>
          <w:rFonts w:hint="eastAsia" w:ascii="宋体" w:hAnsi="宋体" w:eastAsia="宋体" w:cs="宋体"/>
          <w:bCs/>
          <w:iCs/>
          <w:kern w:val="2"/>
          <w:sz w:val="28"/>
          <w:szCs w:val="28"/>
        </w:rPr>
        <w:t>学院会计信息管理专业经过多年的建设发展，与甘肃中盛致远会计事事务所、兰州瑞华会计事务所、兰州炜衡律师事务所、兰州新区保税区、浪潮集团兰州公司等五家企业建立了长期、稳定的校企合作关系，成为本专业专业固定的校外实训基地。校外实训基地能够接收本专业学生开展企业见习、工学交替实践等教学活动，能够进行收银、总账会计、纳税申报、成本管理等实训活动。校外实训基地为我校提供了真实的、丰富的课程资源，使我们的学生实习对接真实的岗位、真实的业务，极大提高了学生实操能力。为了保障学生赴校外实习实践的安全性和有效性，学院通过校企共建共享，不断完善实训管理及实施规章制度、科学规划确定实训项目、明确实训岗位、校企双方共派实习指导教师等，形成良好的校外实训管理机制。</w:t>
      </w:r>
    </w:p>
    <w:p w14:paraId="77BDFDAA">
      <w:pPr>
        <w:widowControl w:val="0"/>
        <w:spacing w:after="0" w:line="360" w:lineRule="auto"/>
        <w:ind w:firstLine="562" w:firstLineChars="200"/>
        <w:jc w:val="both"/>
        <w:rPr>
          <w:rFonts w:ascii="宋体" w:hAnsi="宋体" w:eastAsia="宋体" w:cs="宋体"/>
          <w:b/>
          <w:iCs/>
          <w:kern w:val="2"/>
          <w:sz w:val="28"/>
          <w:szCs w:val="28"/>
        </w:rPr>
      </w:pPr>
      <w:r>
        <w:rPr>
          <w:rFonts w:hint="eastAsia" w:ascii="宋体" w:hAnsi="宋体" w:eastAsia="宋体" w:cs="宋体"/>
          <w:b/>
          <w:iCs/>
          <w:kern w:val="2"/>
          <w:sz w:val="28"/>
          <w:szCs w:val="28"/>
        </w:rPr>
        <w:t>4.支持信息化教学方面情况</w:t>
      </w:r>
    </w:p>
    <w:p w14:paraId="4EB961C3">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主动</w:t>
      </w:r>
      <w:r>
        <w:rPr>
          <w:rFonts w:ascii="宋体" w:hAnsi="宋体" w:eastAsia="宋体" w:cs="宋体"/>
          <w:bCs/>
          <w:iCs/>
          <w:kern w:val="2"/>
          <w:sz w:val="28"/>
          <w:szCs w:val="28"/>
        </w:rPr>
        <w:t>适应“互联网+职业教育”新要求，</w:t>
      </w:r>
      <w:r>
        <w:rPr>
          <w:rFonts w:hint="eastAsia" w:ascii="宋体" w:hAnsi="宋体" w:eastAsia="宋体" w:cs="宋体"/>
          <w:bCs/>
          <w:iCs/>
          <w:kern w:val="2"/>
          <w:sz w:val="28"/>
          <w:szCs w:val="28"/>
        </w:rPr>
        <w:t>修订完善学院“三延伸两融合”教学模式改革实践，</w:t>
      </w:r>
      <w:r>
        <w:rPr>
          <w:rFonts w:ascii="宋体" w:hAnsi="宋体" w:eastAsia="宋体" w:cs="宋体"/>
          <w:bCs/>
          <w:iCs/>
          <w:kern w:val="2"/>
          <w:sz w:val="28"/>
          <w:szCs w:val="28"/>
        </w:rPr>
        <w:t>全面提升教师信息技术应用能力，</w:t>
      </w:r>
      <w:r>
        <w:rPr>
          <w:rFonts w:hint="eastAsia" w:ascii="宋体" w:hAnsi="宋体" w:eastAsia="宋体" w:cs="宋体"/>
          <w:bCs/>
          <w:iCs/>
          <w:kern w:val="2"/>
          <w:sz w:val="28"/>
          <w:szCs w:val="28"/>
        </w:rPr>
        <w:t>积极推进信息技术与教学融合实践，通过数字化校园环境建设、数字化教学资源库应用与建设，</w:t>
      </w:r>
      <w:r>
        <w:rPr>
          <w:rFonts w:ascii="宋体" w:hAnsi="宋体" w:eastAsia="宋体" w:cs="宋体"/>
          <w:bCs/>
          <w:iCs/>
          <w:kern w:val="2"/>
          <w:sz w:val="28"/>
          <w:szCs w:val="28"/>
        </w:rPr>
        <w:t>加快建设智能化教学支持环境，推动大数据、人工智能、虚拟现实等现代信息技术在教育教学中的广泛应用，</w:t>
      </w:r>
      <w:r>
        <w:rPr>
          <w:rFonts w:hint="eastAsia" w:ascii="宋体" w:hAnsi="宋体" w:eastAsia="宋体" w:cs="宋体"/>
          <w:bCs/>
          <w:iCs/>
          <w:kern w:val="2"/>
          <w:sz w:val="28"/>
          <w:szCs w:val="28"/>
        </w:rPr>
        <w:t>引导鼓励教师利用信息化教学资源、教学平台，仿真模拟平台实施教学，</w:t>
      </w:r>
      <w:r>
        <w:rPr>
          <w:rFonts w:ascii="宋体" w:hAnsi="宋体" w:eastAsia="宋体" w:cs="宋体"/>
          <w:bCs/>
          <w:iCs/>
          <w:kern w:val="2"/>
          <w:sz w:val="28"/>
          <w:szCs w:val="28"/>
        </w:rPr>
        <w:t>积极推动教师角色的转变和教育理念、教学观念、教学内容、教学方法以及教学评价等方面的改革</w:t>
      </w:r>
      <w:r>
        <w:rPr>
          <w:rFonts w:hint="eastAsia" w:ascii="宋体" w:hAnsi="宋体" w:eastAsia="宋体" w:cs="宋体"/>
          <w:bCs/>
          <w:iCs/>
          <w:kern w:val="2"/>
          <w:sz w:val="28"/>
          <w:szCs w:val="28"/>
        </w:rPr>
        <w:t>，为</w:t>
      </w:r>
      <w:r>
        <w:rPr>
          <w:rFonts w:ascii="宋体" w:hAnsi="宋体" w:eastAsia="宋体" w:cs="宋体"/>
          <w:bCs/>
          <w:iCs/>
          <w:kern w:val="2"/>
          <w:sz w:val="28"/>
          <w:szCs w:val="28"/>
        </w:rPr>
        <w:t>学生终身学习</w:t>
      </w:r>
      <w:r>
        <w:rPr>
          <w:rFonts w:hint="eastAsia" w:ascii="宋体" w:hAnsi="宋体" w:eastAsia="宋体" w:cs="宋体"/>
          <w:bCs/>
          <w:iCs/>
          <w:kern w:val="2"/>
          <w:sz w:val="28"/>
          <w:szCs w:val="28"/>
        </w:rPr>
        <w:t>服务</w:t>
      </w:r>
      <w:r>
        <w:rPr>
          <w:rFonts w:ascii="宋体" w:hAnsi="宋体" w:eastAsia="宋体" w:cs="宋体"/>
          <w:bCs/>
          <w:iCs/>
          <w:kern w:val="2"/>
          <w:sz w:val="28"/>
          <w:szCs w:val="28"/>
        </w:rPr>
        <w:t>。</w:t>
      </w:r>
    </w:p>
    <w:p w14:paraId="38E84B2F">
      <w:pPr>
        <w:widowControl w:val="0"/>
        <w:spacing w:after="0" w:line="360" w:lineRule="auto"/>
        <w:ind w:firstLine="562" w:firstLineChars="200"/>
        <w:jc w:val="both"/>
        <w:rPr>
          <w:rFonts w:ascii="宋体" w:hAnsi="宋体" w:eastAsia="宋体" w:cs="宋体"/>
          <w:b/>
          <w:iCs/>
          <w:kern w:val="2"/>
          <w:sz w:val="28"/>
          <w:szCs w:val="28"/>
        </w:rPr>
      </w:pPr>
      <w:bookmarkStart w:id="136" w:name="_Toc18394"/>
      <w:bookmarkStart w:id="137" w:name="_Toc32714"/>
      <w:bookmarkStart w:id="138" w:name="_Toc77884807"/>
      <w:bookmarkStart w:id="139" w:name="_Toc30699"/>
      <w:bookmarkStart w:id="140" w:name="_Toc77885009"/>
      <w:bookmarkStart w:id="141" w:name="_Toc20533"/>
      <w:r>
        <w:rPr>
          <w:rFonts w:hint="eastAsia" w:ascii="宋体" w:hAnsi="宋体" w:eastAsia="宋体" w:cs="宋体"/>
          <w:b/>
          <w:iCs/>
          <w:kern w:val="2"/>
          <w:sz w:val="28"/>
          <w:szCs w:val="28"/>
        </w:rPr>
        <w:t>（三）教学资源</w:t>
      </w:r>
      <w:bookmarkEnd w:id="136"/>
    </w:p>
    <w:p w14:paraId="42991FA4">
      <w:pPr>
        <w:widowControl w:val="0"/>
        <w:spacing w:after="0" w:line="360" w:lineRule="auto"/>
        <w:ind w:firstLine="562" w:firstLineChars="200"/>
        <w:jc w:val="both"/>
        <w:rPr>
          <w:rFonts w:ascii="宋体" w:hAnsi="宋体" w:eastAsia="宋体" w:cs="宋体"/>
          <w:b/>
          <w:iCs/>
          <w:kern w:val="2"/>
          <w:sz w:val="28"/>
          <w:szCs w:val="28"/>
        </w:rPr>
      </w:pPr>
      <w:r>
        <w:rPr>
          <w:rFonts w:hint="eastAsia" w:ascii="宋体" w:hAnsi="宋体" w:eastAsia="宋体" w:cs="宋体"/>
          <w:b/>
          <w:iCs/>
          <w:kern w:val="2"/>
          <w:sz w:val="28"/>
          <w:szCs w:val="28"/>
        </w:rPr>
        <w:t>1．教材选用情况</w:t>
      </w:r>
    </w:p>
    <w:p w14:paraId="075FC10E">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学院制定完善</w:t>
      </w:r>
      <w:r>
        <w:rPr>
          <w:rFonts w:ascii="宋体" w:hAnsi="宋体" w:eastAsia="宋体" w:cs="宋体"/>
          <w:bCs/>
          <w:iCs/>
          <w:kern w:val="2"/>
          <w:sz w:val="28"/>
          <w:szCs w:val="28"/>
        </w:rPr>
        <w:t>教材选用制度，</w:t>
      </w:r>
      <w:r>
        <w:rPr>
          <w:rFonts w:hint="eastAsia" w:ascii="宋体" w:hAnsi="宋体" w:eastAsia="宋体" w:cs="宋体"/>
          <w:bCs/>
          <w:iCs/>
          <w:kern w:val="2"/>
          <w:sz w:val="28"/>
          <w:szCs w:val="28"/>
        </w:rPr>
        <w:t>建立由专业教师、行业专家和教研人员等参与的教材选用机构，坚持按照国家规定选用规划教材或能够</w:t>
      </w:r>
      <w:r>
        <w:rPr>
          <w:rFonts w:ascii="宋体" w:hAnsi="宋体" w:eastAsia="宋体" w:cs="宋体"/>
          <w:bCs/>
          <w:iCs/>
          <w:kern w:val="2"/>
          <w:sz w:val="28"/>
          <w:szCs w:val="28"/>
        </w:rPr>
        <w:t>体现新技术、新工艺、新规范等的高质量教材，</w:t>
      </w:r>
      <w:r>
        <w:rPr>
          <w:rFonts w:hint="eastAsia" w:ascii="宋体" w:hAnsi="宋体" w:eastAsia="宋体" w:cs="宋体"/>
          <w:bCs/>
          <w:iCs/>
          <w:kern w:val="2"/>
          <w:sz w:val="28"/>
          <w:szCs w:val="28"/>
        </w:rPr>
        <w:t>支持和鼓励教教师开发符合国家要求的校本教材，制定严格的校本教材使用规范。</w:t>
      </w:r>
    </w:p>
    <w:p w14:paraId="7F7DEDD4">
      <w:pPr>
        <w:widowControl w:val="0"/>
        <w:spacing w:after="0" w:line="360" w:lineRule="auto"/>
        <w:ind w:firstLine="562" w:firstLineChars="200"/>
        <w:jc w:val="both"/>
        <w:rPr>
          <w:rFonts w:ascii="宋体" w:hAnsi="宋体" w:eastAsia="宋体" w:cs="宋体"/>
          <w:bCs/>
          <w:iCs/>
          <w:kern w:val="2"/>
          <w:sz w:val="28"/>
          <w:szCs w:val="28"/>
        </w:rPr>
      </w:pPr>
      <w:r>
        <w:rPr>
          <w:rFonts w:hint="eastAsia" w:ascii="宋体" w:hAnsi="宋体" w:eastAsia="宋体" w:cs="宋体"/>
          <w:b/>
          <w:iCs/>
          <w:kern w:val="2"/>
          <w:sz w:val="28"/>
          <w:szCs w:val="28"/>
        </w:rPr>
        <w:t>2．图书文献配备情况</w:t>
      </w:r>
    </w:p>
    <w:p w14:paraId="1D19E39D">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学院建有3.6万平方米的图书馆，馆藏图书文献纸质版23万册，电子版图书60万册，配备能满足人才培养、专业建设、教科研等工作的需要，并为师生提升了方便的查询、借阅。购置了期刊库、有400多门网络课程的超星尔雅学习平台，专业类图书和学术期刊逐年采购和补充，能够满足本专业教育教学研究需要。</w:t>
      </w:r>
    </w:p>
    <w:p w14:paraId="053DD2C8">
      <w:pPr>
        <w:widowControl w:val="0"/>
        <w:spacing w:after="0" w:line="360" w:lineRule="auto"/>
        <w:ind w:firstLine="562" w:firstLineChars="200"/>
        <w:jc w:val="both"/>
        <w:rPr>
          <w:rFonts w:ascii="宋体" w:hAnsi="宋体" w:eastAsia="宋体" w:cs="宋体"/>
          <w:b/>
          <w:iCs/>
          <w:kern w:val="2"/>
          <w:sz w:val="28"/>
          <w:szCs w:val="28"/>
        </w:rPr>
      </w:pPr>
      <w:r>
        <w:rPr>
          <w:rFonts w:hint="eastAsia" w:ascii="宋体" w:hAnsi="宋体" w:eastAsia="宋体" w:cs="宋体"/>
          <w:b/>
          <w:iCs/>
          <w:kern w:val="2"/>
          <w:sz w:val="28"/>
          <w:szCs w:val="28"/>
        </w:rPr>
        <w:t>3．数字教学资源配置情况</w:t>
      </w:r>
    </w:p>
    <w:p w14:paraId="2FCC06D8">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财会教研室教师深挖育人元素融入专业课教学，提炼出政治认同、家国情怀、公民意识、文化自信等4个方面16个思政要素，对主要的8门会计专业课《基础会计》《财务管理》《管理会计》《经济法》《税法》《管理学》《财务会计》进行课程思政的教学设计，线上教学课程通过重新构建、修订完善，完成课程思政设计，建设了课程思政精品课程《财务管理-听故事，学财务》，深受同类院校的好评，课程通过故事育人，传递思政元素，无形之中来进行“传道”。为解决长期制约我校“新财经”人才培养的专业综合仿真实验教学资源不足问题，秉承“专业互通、知识融通、校企联通”建设理念，建设了财会职业能力养成平台虚拟仿真实验教学中心。通过模拟商业环境，着力培养学生依托大数据、人工智能等现代信息技术处理企业财务管理实际问题的能力</w:t>
      </w:r>
    </w:p>
    <w:p w14:paraId="412F4B2F">
      <w:pPr>
        <w:widowControl w:val="0"/>
        <w:spacing w:after="0" w:line="360" w:lineRule="auto"/>
        <w:ind w:firstLine="562" w:firstLineChars="200"/>
        <w:jc w:val="both"/>
        <w:rPr>
          <w:rFonts w:ascii="宋体" w:hAnsi="宋体" w:eastAsia="宋体" w:cs="宋体"/>
          <w:bCs/>
          <w:iCs/>
          <w:kern w:val="2"/>
          <w:sz w:val="28"/>
          <w:szCs w:val="28"/>
        </w:rPr>
      </w:pPr>
      <w:bookmarkStart w:id="142" w:name="_Toc30862"/>
      <w:r>
        <w:rPr>
          <w:rFonts w:hint="eastAsia" w:ascii="宋体" w:hAnsi="宋体" w:eastAsia="宋体" w:cs="宋体"/>
          <w:b/>
          <w:iCs/>
          <w:kern w:val="2"/>
          <w:sz w:val="28"/>
          <w:szCs w:val="28"/>
        </w:rPr>
        <w:t>（四）教学方法</w:t>
      </w:r>
      <w:bookmarkEnd w:id="142"/>
    </w:p>
    <w:p w14:paraId="4E642530">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构建适应“互联网+职业教育”新要求，积极推进“公共基础课向第二课堂和校企文化融合延伸”“专业理论课向实践性教学延伸”“专业技能课向工学结合、技能展赛、岗位实习技能延伸”“信息技术与教学融合”“产教融合”的“三延伸两融合”教学模式改革实践，充分利用数字化教学资源、校企合作资源，推进本专业开展项目教学、案例教学、情境教学、模块化教学、仿真模拟教学等教学方式，广泛运用启发式、探究式、讨论式、参与式等教学方法，逐步推广翻转课堂、混合式教学、理实一体教学等新型教学模式，加大实践教学力度，做好专业实训教学超过50%，提高课堂教学质量，强化学生职业技能训练。</w:t>
      </w:r>
    </w:p>
    <w:p w14:paraId="72F3777A">
      <w:pPr>
        <w:overflowPunct w:val="0"/>
        <w:adjustRightInd w:val="0"/>
        <w:spacing w:after="0" w:line="440" w:lineRule="exact"/>
        <w:ind w:firstLine="440" w:firstLineChars="200"/>
        <w:jc w:val="center"/>
        <w:rPr>
          <w:rFonts w:asciiTheme="minorEastAsia" w:hAnsiTheme="minorEastAsia" w:eastAsiaTheme="minorEastAsia"/>
          <w:b/>
          <w:bCs/>
          <w:sz w:val="24"/>
          <w:szCs w:val="24"/>
        </w:rPr>
      </w:pPr>
      <w:r>
        <w:drawing>
          <wp:anchor distT="0" distB="0" distL="114300" distR="114300" simplePos="0" relativeHeight="251659264" behindDoc="0" locked="0" layoutInCell="1" allowOverlap="1">
            <wp:simplePos x="0" y="0"/>
            <wp:positionH relativeFrom="column">
              <wp:posOffset>260350</wp:posOffset>
            </wp:positionH>
            <wp:positionV relativeFrom="paragraph">
              <wp:posOffset>118745</wp:posOffset>
            </wp:positionV>
            <wp:extent cx="5204460" cy="2595880"/>
            <wp:effectExtent l="9525" t="9525" r="13335" b="15875"/>
            <wp:wrapTopAndBottom/>
            <wp:docPr id="4" name="图片 3" descr="“三延伸两融合”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三延伸两融合”图示"/>
                    <pic:cNvPicPr>
                      <a:picLocks noChangeAspect="1"/>
                    </pic:cNvPicPr>
                  </pic:nvPicPr>
                  <pic:blipFill>
                    <a:blip r:embed="rId9"/>
                    <a:srcRect l="-131"/>
                    <a:stretch>
                      <a:fillRect/>
                    </a:stretch>
                  </pic:blipFill>
                  <pic:spPr>
                    <a:xfrm>
                      <a:off x="0" y="0"/>
                      <a:ext cx="5204460" cy="2595880"/>
                    </a:xfrm>
                    <a:prstGeom prst="rect">
                      <a:avLst/>
                    </a:prstGeom>
                    <a:ln>
                      <a:solidFill>
                        <a:schemeClr val="tx1"/>
                      </a:solidFill>
                    </a:ln>
                  </pic:spPr>
                </pic:pic>
              </a:graphicData>
            </a:graphic>
          </wp:anchor>
        </w:drawing>
      </w:r>
      <w:r>
        <w:rPr>
          <w:rFonts w:hint="eastAsia" w:asciiTheme="minorEastAsia" w:hAnsiTheme="minorEastAsia" w:eastAsiaTheme="minorEastAsia"/>
          <w:b/>
          <w:bCs/>
          <w:sz w:val="24"/>
          <w:szCs w:val="24"/>
        </w:rPr>
        <w:t>图1：“三延伸两融合”教学模式图示</w:t>
      </w:r>
    </w:p>
    <w:p w14:paraId="013B89BF">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本专业构建了“以岗位职业能力需求为核心、以职业能力培养为主线、岗位工作为导向”的课程体系，通过实施“专业—岗位—能力—任务—项目—课程”六位一体式双向融通的人才培养模式，通过开展“课程教学项目化、实践教学任务化、技能训练标准化、实训项目专门化、岗位实习职业化”，将职业素质训练贯穿于教学及实训的各个环节，建设特色课程，有效实施“校内基地基本技能实训”“校外企业见习、实践进行职业能力训练”“企业工学交替、岗位实习就业能力训练”的“三训结合实训教学模式”，促进校企文化融合，强化学生职业能力培养。</w:t>
      </w:r>
    </w:p>
    <w:p w14:paraId="642012C4">
      <w:pPr>
        <w:widowControl w:val="0"/>
        <w:spacing w:after="0" w:line="360" w:lineRule="auto"/>
        <w:ind w:firstLine="562" w:firstLineChars="200"/>
        <w:jc w:val="both"/>
        <w:rPr>
          <w:rFonts w:ascii="宋体" w:hAnsi="宋体" w:eastAsia="宋体" w:cs="宋体"/>
          <w:b/>
          <w:iCs/>
          <w:kern w:val="2"/>
          <w:sz w:val="28"/>
          <w:szCs w:val="28"/>
        </w:rPr>
      </w:pPr>
      <w:r>
        <w:rPr>
          <w:rFonts w:hint="eastAsia" w:ascii="宋体" w:hAnsi="宋体" w:eastAsia="宋体" w:cs="宋体"/>
          <w:b/>
          <w:iCs/>
          <w:kern w:val="2"/>
          <w:sz w:val="28"/>
          <w:szCs w:val="28"/>
        </w:rPr>
        <w:t>1.实训课程基本要求</w:t>
      </w:r>
    </w:p>
    <w:p w14:paraId="3D7CD3C1">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（1）教师应根据实训要求，制作项目化、流程化、活页式的项目操作手册。</w:t>
      </w:r>
    </w:p>
    <w:p w14:paraId="78D45D4A">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（2）重点、难点内容教师要讲解、示范，并告知学生考核方式及标准。</w:t>
      </w:r>
    </w:p>
    <w:p w14:paraId="060BD958">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（3）学生应严格遵守实训室要求，保障实训过程的安全性，相互学习，强化团队学习优势。</w:t>
      </w:r>
    </w:p>
    <w:p w14:paraId="0F9DC962">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（4）学生认真完成实训报告，熟悉实训内容，做到课前预习。</w:t>
      </w:r>
    </w:p>
    <w:p w14:paraId="334361DC">
      <w:pPr>
        <w:widowControl w:val="0"/>
        <w:spacing w:after="0" w:line="360" w:lineRule="auto"/>
        <w:ind w:firstLine="562" w:firstLineChars="200"/>
        <w:jc w:val="both"/>
        <w:rPr>
          <w:rFonts w:ascii="宋体" w:hAnsi="宋体" w:eastAsia="宋体" w:cs="宋体"/>
          <w:b/>
          <w:iCs/>
          <w:kern w:val="2"/>
          <w:sz w:val="28"/>
          <w:szCs w:val="28"/>
        </w:rPr>
      </w:pPr>
      <w:r>
        <w:rPr>
          <w:rFonts w:hint="eastAsia" w:ascii="宋体" w:hAnsi="宋体" w:eastAsia="宋体" w:cs="宋体"/>
          <w:b/>
          <w:iCs/>
          <w:kern w:val="2"/>
          <w:sz w:val="28"/>
          <w:szCs w:val="28"/>
        </w:rPr>
        <w:t>2.实训周基本要求</w:t>
      </w:r>
    </w:p>
    <w:p w14:paraId="3B0E03AC">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（1）教师应告知学生实训周的各项环节以及最终达到的目标。</w:t>
      </w:r>
    </w:p>
    <w:p w14:paraId="23AFB3A7">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（2）学生按照实训周制度，按时到岗到位，积极完成每一个环节的工作。</w:t>
      </w:r>
    </w:p>
    <w:p w14:paraId="268BE32A">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（3）教师按照每个环节学生作品或工作效率的情况，按比例计分。</w:t>
      </w:r>
    </w:p>
    <w:p w14:paraId="5F967F66">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（4）学生以小组形式为工作团队，重在培养团队能力、商务合作能力、解决问题的能力。</w:t>
      </w:r>
    </w:p>
    <w:p w14:paraId="2BA24E4A">
      <w:pPr>
        <w:widowControl w:val="0"/>
        <w:spacing w:after="0" w:line="360" w:lineRule="auto"/>
        <w:ind w:firstLine="562" w:firstLineChars="200"/>
        <w:jc w:val="both"/>
        <w:rPr>
          <w:rFonts w:ascii="宋体" w:hAnsi="宋体" w:eastAsia="宋体" w:cs="宋体"/>
          <w:b/>
          <w:iCs/>
          <w:kern w:val="2"/>
          <w:sz w:val="28"/>
          <w:szCs w:val="28"/>
        </w:rPr>
      </w:pPr>
      <w:r>
        <w:rPr>
          <w:rFonts w:hint="eastAsia" w:ascii="宋体" w:hAnsi="宋体" w:eastAsia="宋体" w:cs="宋体"/>
          <w:b/>
          <w:iCs/>
          <w:kern w:val="2"/>
          <w:sz w:val="28"/>
          <w:szCs w:val="28"/>
        </w:rPr>
        <w:t>3.创新创业拓展基本要求</w:t>
      </w:r>
    </w:p>
    <w:p w14:paraId="0CA22562">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（1）教师应引导学生正确理解创业与国家经济社会发展的关系，着力引导学生正确理解创业与职业生涯发展的关系，提高学生的社会责任感、创新精神和创业能力。</w:t>
      </w:r>
    </w:p>
    <w:p w14:paraId="4380D26E">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（2）学生在学习期间应具有好奇心、敢于质疑、勇于竞争、自主学习的精神。</w:t>
      </w:r>
    </w:p>
    <w:p w14:paraId="401597C8">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3）学生应积极参加校内组织的各项创业项目设计、创业计划大赛以及创业社团活动，通过在校外组织开展创业者访谈、创业项目考察、企业创办等活动，将课堂知识与创业实践紧密结合起来，培养学生在实践中运用所学知识发现问题和解决实际问题的创业能力。</w:t>
      </w:r>
    </w:p>
    <w:p w14:paraId="176CBAFC">
      <w:pPr>
        <w:widowControl w:val="0"/>
        <w:spacing w:after="0" w:line="360" w:lineRule="auto"/>
        <w:ind w:firstLine="562" w:firstLineChars="200"/>
        <w:jc w:val="both"/>
        <w:rPr>
          <w:rFonts w:ascii="宋体" w:hAnsi="宋体" w:eastAsia="宋体" w:cs="宋体"/>
          <w:b/>
          <w:iCs/>
          <w:kern w:val="2"/>
          <w:sz w:val="28"/>
          <w:szCs w:val="28"/>
        </w:rPr>
      </w:pPr>
      <w:r>
        <w:rPr>
          <w:rFonts w:hint="eastAsia" w:ascii="宋体" w:hAnsi="宋体" w:eastAsia="宋体" w:cs="宋体"/>
          <w:b/>
          <w:iCs/>
          <w:kern w:val="2"/>
          <w:sz w:val="28"/>
          <w:szCs w:val="28"/>
        </w:rPr>
        <w:t>4.认识实习基本要求</w:t>
      </w:r>
    </w:p>
    <w:p w14:paraId="414E1B88">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（1）实习指导老师应从职业素养、工作安全等方面对学生进行培训， 做到理论联系实际。</w:t>
      </w:r>
    </w:p>
    <w:p w14:paraId="6C82FCE8">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（2）学生要在认识实习中了解企业的运作，岗位的工作职责和要求，体验企业的文化氛围，感受职场氛围。</w:t>
      </w:r>
    </w:p>
    <w:p w14:paraId="782D3B93">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（3）学生要在认识实习中完成阶段性实习总结和认识实习总结，加强基本技能，调整职业生涯规划。</w:t>
      </w:r>
    </w:p>
    <w:p w14:paraId="7A537ACC">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（4）学生在认识实习中除了开拓视野，培养实践能力，更应该培养观察、研究、分析及解决问题的能力。</w:t>
      </w:r>
      <w:bookmarkStart w:id="143" w:name="_Toc32215"/>
    </w:p>
    <w:p w14:paraId="6F9AE2CF">
      <w:pPr>
        <w:widowControl w:val="0"/>
        <w:spacing w:after="0" w:line="360" w:lineRule="auto"/>
        <w:ind w:firstLine="562" w:firstLineChars="200"/>
        <w:jc w:val="both"/>
        <w:rPr>
          <w:rFonts w:ascii="宋体" w:hAnsi="宋体" w:eastAsia="宋体" w:cs="宋体"/>
          <w:b/>
          <w:iCs/>
          <w:kern w:val="2"/>
          <w:sz w:val="28"/>
          <w:szCs w:val="28"/>
        </w:rPr>
      </w:pPr>
      <w:r>
        <w:rPr>
          <w:rFonts w:hint="eastAsia" w:ascii="宋体" w:hAnsi="宋体" w:eastAsia="宋体" w:cs="宋体"/>
          <w:b/>
          <w:iCs/>
          <w:kern w:val="2"/>
          <w:sz w:val="28"/>
          <w:szCs w:val="28"/>
        </w:rPr>
        <w:t>（五）学习评价</w:t>
      </w:r>
      <w:bookmarkEnd w:id="143"/>
    </w:p>
    <w:p w14:paraId="23FC2566">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 xml:space="preserve"> 按照《深化新时代教育评价改革总体方案》要求，修订完善职业院校学生“六位一体”评价方案，充分利用数字化校园环境建设的优势，严格落实本专业培养目标和培养规格要求，有效开展“学生品德评价、学业成绩评价、拓展活动参与评价、技能定级评价、工学交替评价、岗位实习评价”等六个方面的综合评价，引入自评、互评、企业评、社会评等多元评价，客观公正、全过程、全方位进行学生综合能力评价，引导学生自我管理、主动学习，提高学习效率。为学生搭建展示才能的舞台，提高学生的综合职业能力。</w:t>
      </w:r>
    </w:p>
    <w:p w14:paraId="1B3379D2">
      <w:pPr>
        <w:overflowPunct w:val="0"/>
        <w:adjustRightInd w:val="0"/>
        <w:spacing w:after="0" w:line="440" w:lineRule="exact"/>
        <w:ind w:firstLine="420" w:firstLineChars="200"/>
        <w:jc w:val="center"/>
        <w:rPr>
          <w:rFonts w:asciiTheme="minorEastAsia" w:hAnsiTheme="minorEastAsia" w:eastAsiaTheme="minorEastAsia"/>
          <w:b/>
          <w:bCs/>
          <w:sz w:val="21"/>
          <w:szCs w:val="21"/>
        </w:rPr>
      </w:pPr>
      <w:r>
        <w:rPr>
          <w:sz w:val="21"/>
          <w:szCs w:val="21"/>
        </w:rPr>
        <w:drawing>
          <wp:anchor distT="0" distB="0" distL="114300" distR="114300" simplePos="0" relativeHeight="251660288" behindDoc="0" locked="0" layoutInCell="1" allowOverlap="1">
            <wp:simplePos x="0" y="0"/>
            <wp:positionH relativeFrom="column">
              <wp:posOffset>803275</wp:posOffset>
            </wp:positionH>
            <wp:positionV relativeFrom="paragraph">
              <wp:posOffset>80645</wp:posOffset>
            </wp:positionV>
            <wp:extent cx="4298315" cy="2419350"/>
            <wp:effectExtent l="9525" t="9525" r="20320" b="9525"/>
            <wp:wrapTopAndBottom/>
            <wp:docPr id="2" name="图片 1" descr="“六位一体”图示202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六位一体”图示20220505"/>
                    <pic:cNvPicPr>
                      <a:picLocks noChangeAspect="1"/>
                    </pic:cNvPicPr>
                  </pic:nvPicPr>
                  <pic:blipFill>
                    <a:blip r:embed="rId10"/>
                    <a:stretch>
                      <a:fillRect/>
                    </a:stretch>
                  </pic:blipFill>
                  <pic:spPr>
                    <a:xfrm>
                      <a:off x="0" y="0"/>
                      <a:ext cx="4298315" cy="2419350"/>
                    </a:xfrm>
                    <a:prstGeom prst="rect">
                      <a:avLst/>
                    </a:prstGeom>
                    <a:ln>
                      <a:solidFill>
                        <a:schemeClr val="tx1"/>
                      </a:solidFill>
                    </a:ln>
                  </pic:spPr>
                </pic:pic>
              </a:graphicData>
            </a:graphic>
          </wp:anchor>
        </w:drawing>
      </w:r>
      <w:r>
        <w:rPr>
          <w:rFonts w:hint="eastAsia" w:asciiTheme="minorEastAsia" w:hAnsiTheme="minorEastAsia" w:eastAsiaTheme="minorEastAsia"/>
          <w:b/>
          <w:bCs/>
          <w:sz w:val="21"/>
          <w:szCs w:val="21"/>
        </w:rPr>
        <w:t>图2：职业院校学生“六位一体”综合能力评价体系</w:t>
      </w:r>
    </w:p>
    <w:p w14:paraId="20D536DF">
      <w:pPr>
        <w:widowControl w:val="0"/>
        <w:spacing w:after="0" w:line="360" w:lineRule="auto"/>
        <w:ind w:firstLine="562" w:firstLineChars="200"/>
        <w:jc w:val="both"/>
        <w:rPr>
          <w:rFonts w:ascii="宋体" w:hAnsi="宋体" w:eastAsia="宋体" w:cs="宋体"/>
          <w:b/>
          <w:iCs/>
          <w:kern w:val="2"/>
          <w:sz w:val="28"/>
          <w:szCs w:val="28"/>
        </w:rPr>
      </w:pPr>
      <w:r>
        <w:rPr>
          <w:rFonts w:hint="eastAsia" w:ascii="宋体" w:hAnsi="宋体" w:eastAsia="宋体" w:cs="宋体"/>
          <w:b/>
          <w:iCs/>
          <w:kern w:val="2"/>
          <w:sz w:val="28"/>
          <w:szCs w:val="28"/>
        </w:rPr>
        <w:t>1.有效</w:t>
      </w:r>
      <w:r>
        <w:rPr>
          <w:rFonts w:ascii="宋体" w:hAnsi="宋体" w:eastAsia="宋体" w:cs="宋体"/>
          <w:b/>
          <w:iCs/>
          <w:kern w:val="2"/>
          <w:sz w:val="28"/>
          <w:szCs w:val="28"/>
        </w:rPr>
        <w:t>开展学生</w:t>
      </w:r>
      <w:r>
        <w:rPr>
          <w:rFonts w:hint="eastAsia" w:ascii="宋体" w:hAnsi="宋体" w:eastAsia="宋体" w:cs="宋体"/>
          <w:b/>
          <w:iCs/>
          <w:kern w:val="2"/>
          <w:sz w:val="28"/>
          <w:szCs w:val="28"/>
        </w:rPr>
        <w:t>思想</w:t>
      </w:r>
      <w:r>
        <w:rPr>
          <w:rFonts w:ascii="宋体" w:hAnsi="宋体" w:eastAsia="宋体" w:cs="宋体"/>
          <w:b/>
          <w:iCs/>
          <w:kern w:val="2"/>
          <w:sz w:val="28"/>
          <w:szCs w:val="28"/>
        </w:rPr>
        <w:t>品德评价</w:t>
      </w:r>
      <w:r>
        <w:rPr>
          <w:rFonts w:hint="eastAsia" w:ascii="宋体" w:hAnsi="宋体" w:eastAsia="宋体" w:cs="宋体"/>
          <w:b/>
          <w:iCs/>
          <w:kern w:val="2"/>
          <w:sz w:val="28"/>
          <w:szCs w:val="28"/>
        </w:rPr>
        <w:t>，建立学生成长档案</w:t>
      </w:r>
    </w:p>
    <w:p w14:paraId="2EA6CABA">
      <w:pPr>
        <w:widowControl w:val="0"/>
        <w:spacing w:after="0" w:line="360" w:lineRule="auto"/>
        <w:ind w:firstLine="560" w:firstLineChars="200"/>
        <w:jc w:val="both"/>
        <w:rPr>
          <w:rFonts w:ascii="宋体" w:hAnsi="宋体" w:eastAsia="宋体" w:cs="宋体"/>
          <w:bCs/>
          <w:iCs/>
          <w:kern w:val="2"/>
          <w:sz w:val="28"/>
          <w:szCs w:val="28"/>
        </w:rPr>
      </w:pPr>
      <w:r>
        <w:rPr>
          <w:rFonts w:ascii="宋体" w:hAnsi="宋体" w:eastAsia="宋体" w:cs="宋体"/>
          <w:bCs/>
          <w:iCs/>
          <w:kern w:val="2"/>
          <w:sz w:val="28"/>
          <w:szCs w:val="28"/>
        </w:rPr>
        <w:t>坚持把立德树人作为根本任务，深化“三全育人”综合改革</w:t>
      </w:r>
      <w:r>
        <w:rPr>
          <w:rFonts w:hint="eastAsia" w:ascii="宋体" w:hAnsi="宋体" w:eastAsia="宋体" w:cs="宋体"/>
          <w:bCs/>
          <w:iCs/>
          <w:kern w:val="2"/>
          <w:sz w:val="28"/>
          <w:szCs w:val="28"/>
        </w:rPr>
        <w:t>，</w:t>
      </w:r>
      <w:r>
        <w:rPr>
          <w:rFonts w:ascii="宋体" w:hAnsi="宋体" w:eastAsia="宋体" w:cs="宋体"/>
          <w:bCs/>
          <w:iCs/>
          <w:kern w:val="2"/>
          <w:sz w:val="28"/>
          <w:szCs w:val="28"/>
        </w:rPr>
        <w:t>全面推动习近平新时代中国特色社会主义思想进教材进课堂进头脑，积极培育和践行社会主义核心价值观。</w:t>
      </w:r>
      <w:r>
        <w:rPr>
          <w:rFonts w:hint="eastAsia" w:ascii="宋体" w:hAnsi="宋体" w:eastAsia="宋体" w:cs="宋体"/>
          <w:bCs/>
          <w:iCs/>
          <w:kern w:val="2"/>
          <w:sz w:val="28"/>
          <w:szCs w:val="28"/>
        </w:rPr>
        <w:t>通过</w:t>
      </w:r>
      <w:r>
        <w:rPr>
          <w:rFonts w:ascii="宋体" w:hAnsi="宋体" w:eastAsia="宋体" w:cs="宋体"/>
          <w:bCs/>
          <w:iCs/>
          <w:kern w:val="2"/>
          <w:sz w:val="28"/>
          <w:szCs w:val="28"/>
        </w:rPr>
        <w:t>加强学</w:t>
      </w:r>
      <w:r>
        <w:rPr>
          <w:rFonts w:hint="eastAsia" w:ascii="宋体" w:hAnsi="宋体" w:eastAsia="宋体" w:cs="宋体"/>
          <w:bCs/>
          <w:iCs/>
          <w:kern w:val="2"/>
          <w:sz w:val="28"/>
          <w:szCs w:val="28"/>
        </w:rPr>
        <w:t>生</w:t>
      </w:r>
      <w:r>
        <w:rPr>
          <w:rFonts w:ascii="宋体" w:hAnsi="宋体" w:eastAsia="宋体" w:cs="宋体"/>
          <w:bCs/>
          <w:iCs/>
          <w:kern w:val="2"/>
          <w:sz w:val="28"/>
          <w:szCs w:val="28"/>
        </w:rPr>
        <w:t>思想</w:t>
      </w:r>
      <w:r>
        <w:rPr>
          <w:rFonts w:hint="eastAsia" w:ascii="宋体" w:hAnsi="宋体" w:eastAsia="宋体" w:cs="宋体"/>
          <w:bCs/>
          <w:iCs/>
          <w:kern w:val="2"/>
          <w:sz w:val="28"/>
          <w:szCs w:val="28"/>
        </w:rPr>
        <w:t>品德教育</w:t>
      </w:r>
      <w:r>
        <w:rPr>
          <w:rFonts w:ascii="宋体" w:hAnsi="宋体" w:eastAsia="宋体" w:cs="宋体"/>
          <w:bCs/>
          <w:iCs/>
          <w:kern w:val="2"/>
          <w:sz w:val="28"/>
          <w:szCs w:val="28"/>
        </w:rPr>
        <w:t>，</w:t>
      </w:r>
      <w:r>
        <w:rPr>
          <w:rFonts w:hint="eastAsia" w:ascii="宋体" w:hAnsi="宋体" w:eastAsia="宋体" w:cs="宋体"/>
          <w:bCs/>
          <w:iCs/>
          <w:kern w:val="2"/>
          <w:sz w:val="28"/>
          <w:szCs w:val="28"/>
        </w:rPr>
        <w:t>在学生的</w:t>
      </w:r>
      <w:r>
        <w:rPr>
          <w:rFonts w:ascii="宋体" w:hAnsi="宋体" w:eastAsia="宋体" w:cs="宋体"/>
          <w:bCs/>
          <w:iCs/>
          <w:kern w:val="2"/>
          <w:sz w:val="28"/>
          <w:szCs w:val="28"/>
        </w:rPr>
        <w:t>思想道德教育、文化知识教育、技术技能培养、社会实践教育</w:t>
      </w:r>
      <w:r>
        <w:rPr>
          <w:rFonts w:hint="eastAsia" w:ascii="宋体" w:hAnsi="宋体" w:eastAsia="宋体" w:cs="宋体"/>
          <w:bCs/>
          <w:iCs/>
          <w:kern w:val="2"/>
          <w:sz w:val="28"/>
          <w:szCs w:val="28"/>
        </w:rPr>
        <w:t>等各</w:t>
      </w:r>
      <w:r>
        <w:rPr>
          <w:rFonts w:ascii="宋体" w:hAnsi="宋体" w:eastAsia="宋体" w:cs="宋体"/>
          <w:bCs/>
          <w:iCs/>
          <w:kern w:val="2"/>
          <w:sz w:val="28"/>
          <w:szCs w:val="28"/>
        </w:rPr>
        <w:t>环节</w:t>
      </w:r>
      <w:r>
        <w:rPr>
          <w:rFonts w:hint="eastAsia" w:ascii="宋体" w:hAnsi="宋体" w:eastAsia="宋体" w:cs="宋体"/>
          <w:bCs/>
          <w:iCs/>
          <w:kern w:val="2"/>
          <w:sz w:val="28"/>
          <w:szCs w:val="28"/>
        </w:rPr>
        <w:t>融入社会主义核心价值观</w:t>
      </w:r>
      <w:r>
        <w:rPr>
          <w:rFonts w:ascii="宋体" w:hAnsi="宋体" w:eastAsia="宋体" w:cs="宋体"/>
          <w:bCs/>
          <w:iCs/>
          <w:kern w:val="2"/>
          <w:sz w:val="28"/>
          <w:szCs w:val="28"/>
        </w:rPr>
        <w:t>，推动专业课教学与思想政治理论课教学紧密结合</w:t>
      </w:r>
      <w:r>
        <w:rPr>
          <w:rFonts w:hint="eastAsia" w:ascii="宋体" w:hAnsi="宋体" w:eastAsia="宋体" w:cs="宋体"/>
          <w:bCs/>
          <w:iCs/>
          <w:kern w:val="2"/>
          <w:sz w:val="28"/>
          <w:szCs w:val="28"/>
        </w:rPr>
        <w:t>，切实</w:t>
      </w:r>
      <w:r>
        <w:rPr>
          <w:rFonts w:ascii="宋体" w:hAnsi="宋体" w:eastAsia="宋体" w:cs="宋体"/>
          <w:bCs/>
          <w:iCs/>
          <w:kern w:val="2"/>
          <w:sz w:val="28"/>
          <w:szCs w:val="28"/>
        </w:rPr>
        <w:t>提升思想政治工作质量。</w:t>
      </w:r>
      <w:r>
        <w:rPr>
          <w:rFonts w:hint="eastAsia" w:ascii="宋体" w:hAnsi="宋体" w:eastAsia="宋体" w:cs="宋体"/>
          <w:bCs/>
          <w:iCs/>
          <w:kern w:val="2"/>
          <w:sz w:val="28"/>
          <w:szCs w:val="28"/>
        </w:rPr>
        <w:t>通过</w:t>
      </w:r>
      <w:r>
        <w:rPr>
          <w:rFonts w:ascii="宋体" w:hAnsi="宋体" w:eastAsia="宋体" w:cs="宋体"/>
          <w:bCs/>
          <w:iCs/>
          <w:kern w:val="2"/>
          <w:sz w:val="28"/>
          <w:szCs w:val="28"/>
        </w:rPr>
        <w:t>制定学生</w:t>
      </w:r>
      <w:r>
        <w:rPr>
          <w:rFonts w:hint="eastAsia" w:ascii="宋体" w:hAnsi="宋体" w:eastAsia="宋体" w:cs="宋体"/>
          <w:bCs/>
          <w:iCs/>
          <w:kern w:val="2"/>
          <w:sz w:val="28"/>
          <w:szCs w:val="28"/>
        </w:rPr>
        <w:t>思想</w:t>
      </w:r>
      <w:r>
        <w:rPr>
          <w:rFonts w:ascii="宋体" w:hAnsi="宋体" w:eastAsia="宋体" w:cs="宋体"/>
          <w:bCs/>
          <w:iCs/>
          <w:kern w:val="2"/>
          <w:sz w:val="28"/>
          <w:szCs w:val="28"/>
        </w:rPr>
        <w:t>品德评价标准，</w:t>
      </w:r>
      <w:r>
        <w:rPr>
          <w:rFonts w:hint="eastAsia" w:ascii="宋体" w:hAnsi="宋体" w:eastAsia="宋体" w:cs="宋体"/>
          <w:bCs/>
          <w:iCs/>
          <w:kern w:val="2"/>
          <w:sz w:val="28"/>
          <w:szCs w:val="28"/>
        </w:rPr>
        <w:t>利用数字化教学环境建设、大数据分析等先进手段，</w:t>
      </w:r>
      <w:r>
        <w:rPr>
          <w:rFonts w:ascii="宋体" w:hAnsi="宋体" w:eastAsia="宋体" w:cs="宋体"/>
          <w:bCs/>
          <w:iCs/>
          <w:kern w:val="2"/>
          <w:sz w:val="28"/>
          <w:szCs w:val="28"/>
        </w:rPr>
        <w:t>建立学生</w:t>
      </w:r>
      <w:r>
        <w:rPr>
          <w:rFonts w:hint="eastAsia" w:ascii="宋体" w:hAnsi="宋体" w:eastAsia="宋体" w:cs="宋体"/>
          <w:bCs/>
          <w:iCs/>
          <w:kern w:val="2"/>
          <w:sz w:val="28"/>
          <w:szCs w:val="28"/>
        </w:rPr>
        <w:t>思想品德</w:t>
      </w:r>
      <w:r>
        <w:rPr>
          <w:rFonts w:ascii="宋体" w:hAnsi="宋体" w:eastAsia="宋体" w:cs="宋体"/>
          <w:bCs/>
          <w:iCs/>
          <w:kern w:val="2"/>
          <w:sz w:val="28"/>
          <w:szCs w:val="28"/>
        </w:rPr>
        <w:t>成长档案，根据学生在校</w:t>
      </w:r>
      <w:r>
        <w:rPr>
          <w:rFonts w:hint="eastAsia" w:ascii="宋体" w:hAnsi="宋体" w:eastAsia="宋体" w:cs="宋体"/>
          <w:bCs/>
          <w:iCs/>
          <w:kern w:val="2"/>
          <w:sz w:val="28"/>
          <w:szCs w:val="28"/>
        </w:rPr>
        <w:t>综合</w:t>
      </w:r>
      <w:r>
        <w:rPr>
          <w:rFonts w:ascii="宋体" w:hAnsi="宋体" w:eastAsia="宋体" w:cs="宋体"/>
          <w:bCs/>
          <w:iCs/>
          <w:kern w:val="2"/>
          <w:sz w:val="28"/>
          <w:szCs w:val="28"/>
        </w:rPr>
        <w:t>表现和参与各类活动的情况，在</w:t>
      </w:r>
      <w:r>
        <w:rPr>
          <w:rFonts w:hint="eastAsia" w:ascii="宋体" w:hAnsi="宋体" w:eastAsia="宋体" w:cs="宋体"/>
          <w:bCs/>
          <w:iCs/>
          <w:kern w:val="2"/>
          <w:sz w:val="28"/>
          <w:szCs w:val="28"/>
        </w:rPr>
        <w:t>本专业</w:t>
      </w:r>
      <w:r>
        <w:rPr>
          <w:rFonts w:ascii="宋体" w:hAnsi="宋体" w:eastAsia="宋体" w:cs="宋体"/>
          <w:bCs/>
          <w:iCs/>
          <w:kern w:val="2"/>
          <w:sz w:val="28"/>
          <w:szCs w:val="28"/>
        </w:rPr>
        <w:t>各班开展学院、家庭、社会共同参与的学生</w:t>
      </w:r>
      <w:r>
        <w:rPr>
          <w:rFonts w:hint="eastAsia" w:ascii="宋体" w:hAnsi="宋体" w:eastAsia="宋体" w:cs="宋体"/>
          <w:bCs/>
          <w:iCs/>
          <w:kern w:val="2"/>
          <w:sz w:val="28"/>
          <w:szCs w:val="28"/>
        </w:rPr>
        <w:t>思想</w:t>
      </w:r>
      <w:r>
        <w:rPr>
          <w:rFonts w:ascii="宋体" w:hAnsi="宋体" w:eastAsia="宋体" w:cs="宋体"/>
          <w:bCs/>
          <w:iCs/>
          <w:kern w:val="2"/>
          <w:sz w:val="28"/>
          <w:szCs w:val="28"/>
        </w:rPr>
        <w:t>品德评价改革。</w:t>
      </w:r>
    </w:p>
    <w:p w14:paraId="4FBC0082">
      <w:pPr>
        <w:widowControl w:val="0"/>
        <w:spacing w:after="0" w:line="360" w:lineRule="auto"/>
        <w:ind w:firstLine="562" w:firstLineChars="200"/>
        <w:jc w:val="both"/>
        <w:rPr>
          <w:rFonts w:ascii="宋体" w:hAnsi="宋体" w:eastAsia="宋体" w:cs="宋体"/>
          <w:bCs/>
          <w:iCs/>
          <w:kern w:val="2"/>
          <w:sz w:val="28"/>
          <w:szCs w:val="28"/>
        </w:rPr>
      </w:pPr>
      <w:r>
        <w:rPr>
          <w:rFonts w:ascii="宋体" w:hAnsi="宋体" w:eastAsia="宋体" w:cs="宋体"/>
          <w:b/>
          <w:iCs/>
          <w:kern w:val="2"/>
          <w:sz w:val="28"/>
          <w:szCs w:val="28"/>
        </w:rPr>
        <w:t>2.开展多形式学生学业成绩评价，完善学生学籍档案</w:t>
      </w:r>
    </w:p>
    <w:p w14:paraId="7A6C6B3E">
      <w:pPr>
        <w:widowControl w:val="0"/>
        <w:spacing w:after="0" w:line="360" w:lineRule="auto"/>
        <w:ind w:firstLine="560" w:firstLineChars="200"/>
        <w:jc w:val="both"/>
        <w:rPr>
          <w:rFonts w:ascii="宋体" w:hAnsi="宋体" w:eastAsia="宋体" w:cs="宋体"/>
          <w:bCs/>
          <w:iCs/>
          <w:kern w:val="2"/>
          <w:sz w:val="28"/>
          <w:szCs w:val="28"/>
        </w:rPr>
      </w:pPr>
      <w:r>
        <w:rPr>
          <w:rFonts w:ascii="宋体" w:hAnsi="宋体" w:eastAsia="宋体" w:cs="宋体"/>
          <w:bCs/>
          <w:iCs/>
          <w:kern w:val="2"/>
          <w:sz w:val="28"/>
          <w:szCs w:val="28"/>
        </w:rPr>
        <w:t>根据</w:t>
      </w:r>
      <w:r>
        <w:rPr>
          <w:rFonts w:hint="eastAsia" w:ascii="宋体" w:hAnsi="宋体" w:eastAsia="宋体" w:cs="宋体"/>
          <w:bCs/>
          <w:iCs/>
          <w:kern w:val="2"/>
          <w:sz w:val="28"/>
          <w:szCs w:val="28"/>
        </w:rPr>
        <w:t>财会</w:t>
      </w:r>
      <w:r>
        <w:rPr>
          <w:rFonts w:ascii="宋体" w:hAnsi="宋体" w:eastAsia="宋体" w:cs="宋体"/>
          <w:bCs/>
          <w:iCs/>
          <w:kern w:val="2"/>
          <w:sz w:val="28"/>
          <w:szCs w:val="28"/>
        </w:rPr>
        <w:t>专业学生在校期间开设的课程，根据公共基础课、专业理论课、专业技能课等课程教学特点和</w:t>
      </w:r>
      <w:r>
        <w:rPr>
          <w:rFonts w:hint="eastAsia" w:ascii="宋体" w:hAnsi="宋体" w:eastAsia="宋体" w:cs="宋体"/>
          <w:bCs/>
          <w:iCs/>
          <w:kern w:val="2"/>
          <w:sz w:val="28"/>
          <w:szCs w:val="28"/>
        </w:rPr>
        <w:t>财会</w:t>
      </w:r>
      <w:r>
        <w:rPr>
          <w:rFonts w:ascii="宋体" w:hAnsi="宋体" w:eastAsia="宋体" w:cs="宋体"/>
          <w:bCs/>
          <w:iCs/>
          <w:kern w:val="2"/>
          <w:sz w:val="28"/>
          <w:szCs w:val="28"/>
        </w:rPr>
        <w:t>专业特色，制定各学科考核标准和考试评价细则，采用理论测试、理论与技能测试相结合、技能竞赛、作业作品展评、技能定级等多种形式考核评价学生的学业成绩，修订和完善学生学籍档案，探索基于数字化教学环境，加强学生学籍档案管理的新模式，实现学生学业成绩信息化管理。</w:t>
      </w:r>
    </w:p>
    <w:p w14:paraId="2C5B1892">
      <w:pPr>
        <w:widowControl w:val="0"/>
        <w:spacing w:after="0" w:line="360" w:lineRule="auto"/>
        <w:ind w:firstLine="562" w:firstLineChars="200"/>
        <w:jc w:val="both"/>
        <w:rPr>
          <w:rFonts w:ascii="宋体" w:hAnsi="宋体" w:eastAsia="宋体" w:cs="宋体"/>
          <w:b/>
          <w:iCs/>
          <w:kern w:val="2"/>
          <w:sz w:val="28"/>
          <w:szCs w:val="28"/>
        </w:rPr>
      </w:pPr>
      <w:r>
        <w:rPr>
          <w:rFonts w:hint="eastAsia" w:ascii="宋体" w:hAnsi="宋体" w:eastAsia="宋体" w:cs="宋体"/>
          <w:b/>
          <w:iCs/>
          <w:kern w:val="2"/>
          <w:sz w:val="28"/>
          <w:szCs w:val="28"/>
        </w:rPr>
        <w:t xml:space="preserve">3. </w:t>
      </w:r>
      <w:r>
        <w:rPr>
          <w:rFonts w:ascii="宋体" w:hAnsi="宋体" w:eastAsia="宋体" w:cs="宋体"/>
          <w:b/>
          <w:iCs/>
          <w:kern w:val="2"/>
          <w:sz w:val="28"/>
          <w:szCs w:val="28"/>
        </w:rPr>
        <w:t>重视学生专业拓展活动评价，强化学生职业素养培养</w:t>
      </w:r>
    </w:p>
    <w:p w14:paraId="3DCA5402">
      <w:pPr>
        <w:widowControl w:val="0"/>
        <w:spacing w:after="0" w:line="360" w:lineRule="auto"/>
        <w:ind w:firstLine="560" w:firstLineChars="200"/>
        <w:jc w:val="both"/>
        <w:rPr>
          <w:rFonts w:ascii="宋体" w:hAnsi="宋体" w:eastAsia="宋体" w:cs="宋体"/>
          <w:bCs/>
          <w:iCs/>
          <w:kern w:val="2"/>
          <w:sz w:val="28"/>
          <w:szCs w:val="28"/>
        </w:rPr>
      </w:pPr>
      <w:r>
        <w:rPr>
          <w:rFonts w:ascii="宋体" w:hAnsi="宋体" w:eastAsia="宋体" w:cs="宋体"/>
          <w:bCs/>
          <w:iCs/>
          <w:kern w:val="2"/>
          <w:sz w:val="28"/>
          <w:szCs w:val="28"/>
        </w:rPr>
        <w:t>制定</w:t>
      </w:r>
      <w:r>
        <w:rPr>
          <w:rFonts w:hint="eastAsia" w:ascii="宋体" w:hAnsi="宋体" w:eastAsia="宋体" w:cs="宋体"/>
          <w:bCs/>
          <w:iCs/>
          <w:kern w:val="2"/>
          <w:sz w:val="28"/>
          <w:szCs w:val="28"/>
        </w:rPr>
        <w:t>财会</w:t>
      </w:r>
      <w:r>
        <w:rPr>
          <w:rFonts w:ascii="宋体" w:hAnsi="宋体" w:eastAsia="宋体" w:cs="宋体"/>
          <w:bCs/>
          <w:iCs/>
          <w:kern w:val="2"/>
          <w:sz w:val="28"/>
          <w:szCs w:val="28"/>
        </w:rPr>
        <w:t>专业技能竞赛、作业展评、社团活动评价标准，构建以赛促学、以赛促练、以赛促评综合评价改革。结合</w:t>
      </w:r>
      <w:r>
        <w:rPr>
          <w:rFonts w:hint="eastAsia" w:ascii="宋体" w:hAnsi="宋体" w:eastAsia="宋体" w:cs="宋体"/>
          <w:bCs/>
          <w:iCs/>
          <w:kern w:val="2"/>
          <w:sz w:val="28"/>
          <w:szCs w:val="28"/>
        </w:rPr>
        <w:t>财会</w:t>
      </w:r>
      <w:r>
        <w:rPr>
          <w:rFonts w:ascii="宋体" w:hAnsi="宋体" w:eastAsia="宋体" w:cs="宋体"/>
          <w:bCs/>
          <w:iCs/>
          <w:kern w:val="2"/>
          <w:sz w:val="28"/>
          <w:szCs w:val="28"/>
        </w:rPr>
        <w:t>专业各学科教学特点，积极组织</w:t>
      </w:r>
      <w:r>
        <w:rPr>
          <w:rFonts w:hint="eastAsia" w:ascii="宋体" w:hAnsi="宋体" w:eastAsia="宋体" w:cs="宋体"/>
          <w:bCs/>
          <w:iCs/>
          <w:kern w:val="2"/>
          <w:sz w:val="28"/>
          <w:szCs w:val="28"/>
        </w:rPr>
        <w:t>财会</w:t>
      </w:r>
      <w:r>
        <w:rPr>
          <w:rFonts w:ascii="宋体" w:hAnsi="宋体" w:eastAsia="宋体" w:cs="宋体"/>
          <w:bCs/>
          <w:iCs/>
          <w:kern w:val="2"/>
          <w:sz w:val="28"/>
          <w:szCs w:val="28"/>
        </w:rPr>
        <w:t>专业各年级各学科学生广泛开展“科科有训练、周周有展示、学期有竞赛、层层有选拔”活动，实现以赛促学、以赛促练、以赛促评。制定各学科各年级各项目竞赛训练队活动方案、社团活动、作业作品展评的计划、实施方案、竞赛规程、评价标准，学生奖励制度等，鼓励学生结合自己的特长、兴趣参加学院各类竞赛训练、各种社团活动及作业作品展评活动等，整理归档各类活动资料，总结竞赛训练、社团活动、作业作品展评等活动的开展对促进学生专业技能和专业综合能力提升的成果。</w:t>
      </w:r>
    </w:p>
    <w:p w14:paraId="1605A8B2">
      <w:pPr>
        <w:widowControl w:val="0"/>
        <w:spacing w:after="0" w:line="360" w:lineRule="auto"/>
        <w:ind w:firstLine="562" w:firstLineChars="200"/>
        <w:jc w:val="both"/>
        <w:rPr>
          <w:rFonts w:ascii="宋体" w:hAnsi="宋体" w:eastAsia="宋体" w:cs="宋体"/>
          <w:b/>
          <w:iCs/>
          <w:kern w:val="2"/>
          <w:sz w:val="28"/>
          <w:szCs w:val="28"/>
        </w:rPr>
      </w:pPr>
      <w:r>
        <w:rPr>
          <w:rFonts w:hint="eastAsia" w:ascii="宋体" w:hAnsi="宋体" w:eastAsia="宋体" w:cs="宋体"/>
          <w:b/>
          <w:iCs/>
          <w:kern w:val="2"/>
          <w:sz w:val="28"/>
          <w:szCs w:val="28"/>
        </w:rPr>
        <w:t>4.</w:t>
      </w:r>
      <w:r>
        <w:rPr>
          <w:rFonts w:ascii="宋体" w:hAnsi="宋体" w:eastAsia="宋体" w:cs="宋体"/>
          <w:b/>
          <w:iCs/>
          <w:kern w:val="2"/>
          <w:sz w:val="28"/>
          <w:szCs w:val="28"/>
        </w:rPr>
        <w:t>积极参与实施1+X证书制度试点</w:t>
      </w:r>
    </w:p>
    <w:p w14:paraId="72257194">
      <w:pPr>
        <w:widowControl w:val="0"/>
        <w:spacing w:after="0" w:line="360" w:lineRule="auto"/>
        <w:ind w:firstLine="560" w:firstLineChars="200"/>
        <w:jc w:val="both"/>
        <w:rPr>
          <w:rFonts w:ascii="宋体" w:hAnsi="宋体" w:eastAsia="宋体" w:cs="宋体"/>
          <w:bCs/>
          <w:iCs/>
          <w:kern w:val="2"/>
          <w:sz w:val="28"/>
          <w:szCs w:val="28"/>
        </w:rPr>
      </w:pPr>
      <w:r>
        <w:rPr>
          <w:rFonts w:ascii="宋体" w:hAnsi="宋体" w:eastAsia="宋体" w:cs="宋体"/>
          <w:bCs/>
          <w:iCs/>
          <w:kern w:val="2"/>
          <w:sz w:val="28"/>
          <w:szCs w:val="28"/>
        </w:rPr>
        <w:t>结合</w:t>
      </w:r>
      <w:r>
        <w:rPr>
          <w:rFonts w:hint="eastAsia" w:ascii="宋体" w:hAnsi="宋体" w:eastAsia="宋体" w:cs="宋体"/>
          <w:bCs/>
          <w:iCs/>
          <w:kern w:val="2"/>
          <w:sz w:val="28"/>
          <w:szCs w:val="28"/>
        </w:rPr>
        <w:t>财会</w:t>
      </w:r>
      <w:r>
        <w:rPr>
          <w:rFonts w:ascii="宋体" w:hAnsi="宋体" w:eastAsia="宋体" w:cs="宋体"/>
          <w:bCs/>
          <w:iCs/>
          <w:kern w:val="2"/>
          <w:sz w:val="28"/>
          <w:szCs w:val="28"/>
        </w:rPr>
        <w:t>专业的课程特点，积极开展“1+X”证书试点工作</w:t>
      </w:r>
      <w:r>
        <w:rPr>
          <w:rFonts w:hint="eastAsia" w:ascii="宋体" w:hAnsi="宋体" w:eastAsia="宋体" w:cs="宋体"/>
          <w:bCs/>
          <w:iCs/>
          <w:kern w:val="2"/>
          <w:sz w:val="28"/>
          <w:szCs w:val="28"/>
        </w:rPr>
        <w:t>，</w:t>
      </w:r>
      <w:r>
        <w:rPr>
          <w:rFonts w:ascii="宋体" w:hAnsi="宋体" w:eastAsia="宋体" w:cs="宋体"/>
          <w:bCs/>
          <w:iCs/>
          <w:kern w:val="2"/>
          <w:sz w:val="28"/>
          <w:szCs w:val="28"/>
        </w:rPr>
        <w:t>根据企业技能评价标准和职业资格认证，</w:t>
      </w:r>
      <w:r>
        <w:rPr>
          <w:rFonts w:hint="eastAsia" w:ascii="宋体" w:hAnsi="宋体" w:eastAsia="宋体" w:cs="宋体"/>
          <w:bCs/>
          <w:iCs/>
          <w:kern w:val="2"/>
          <w:sz w:val="28"/>
          <w:szCs w:val="28"/>
        </w:rPr>
        <w:t>甄选职业技能等级证书</w:t>
      </w:r>
      <w:r>
        <w:rPr>
          <w:rFonts w:ascii="宋体" w:hAnsi="宋体" w:eastAsia="宋体" w:cs="宋体"/>
          <w:bCs/>
          <w:iCs/>
          <w:kern w:val="2"/>
          <w:sz w:val="28"/>
          <w:szCs w:val="28"/>
        </w:rPr>
        <w:t>等级考试科目</w:t>
      </w:r>
      <w:r>
        <w:rPr>
          <w:rFonts w:hint="eastAsia" w:ascii="宋体" w:hAnsi="宋体" w:eastAsia="宋体" w:cs="宋体"/>
          <w:bCs/>
          <w:iCs/>
          <w:kern w:val="2"/>
          <w:sz w:val="28"/>
          <w:szCs w:val="28"/>
        </w:rPr>
        <w:t>。将“1+</w:t>
      </w:r>
      <w:r>
        <w:rPr>
          <w:rFonts w:ascii="宋体" w:hAnsi="宋体" w:eastAsia="宋体" w:cs="宋体"/>
          <w:bCs/>
          <w:iCs/>
          <w:kern w:val="2"/>
          <w:sz w:val="28"/>
          <w:szCs w:val="28"/>
        </w:rPr>
        <w:t>X</w:t>
      </w:r>
      <w:r>
        <w:rPr>
          <w:rFonts w:hint="eastAsia" w:ascii="宋体" w:hAnsi="宋体" w:eastAsia="宋体" w:cs="宋体"/>
          <w:bCs/>
          <w:iCs/>
          <w:kern w:val="2"/>
          <w:sz w:val="28"/>
          <w:szCs w:val="28"/>
        </w:rPr>
        <w:t>”证书融入到实践教学中，充分利用“X”证书实训平台，技能与岗位对接，专业知识和真实的企业案例对接，</w:t>
      </w:r>
      <w:r>
        <w:rPr>
          <w:rFonts w:ascii="宋体" w:hAnsi="宋体" w:eastAsia="宋体" w:cs="宋体"/>
          <w:bCs/>
          <w:iCs/>
          <w:kern w:val="2"/>
          <w:sz w:val="28"/>
          <w:szCs w:val="28"/>
        </w:rPr>
        <w:t>鼓励学生考取</w:t>
      </w:r>
      <w:r>
        <w:rPr>
          <w:rFonts w:hint="eastAsia" w:ascii="宋体" w:hAnsi="宋体" w:eastAsia="宋体" w:cs="宋体"/>
          <w:bCs/>
          <w:iCs/>
          <w:kern w:val="2"/>
          <w:sz w:val="28"/>
          <w:szCs w:val="28"/>
        </w:rPr>
        <w:t>智能财税、财务大数据、业财一体化、企业财务与会计机器人应用等</w:t>
      </w:r>
      <w:r>
        <w:rPr>
          <w:rFonts w:ascii="宋体" w:hAnsi="宋体" w:eastAsia="宋体" w:cs="宋体"/>
          <w:bCs/>
          <w:iCs/>
          <w:kern w:val="2"/>
          <w:sz w:val="28"/>
          <w:szCs w:val="28"/>
        </w:rPr>
        <w:t>“1+X”</w:t>
      </w:r>
      <w:r>
        <w:rPr>
          <w:rFonts w:hint="eastAsia" w:ascii="宋体" w:hAnsi="宋体" w:eastAsia="宋体" w:cs="宋体"/>
          <w:bCs/>
          <w:iCs/>
          <w:kern w:val="2"/>
          <w:sz w:val="28"/>
          <w:szCs w:val="28"/>
        </w:rPr>
        <w:t>职业技能等级证书，</w:t>
      </w:r>
      <w:r>
        <w:rPr>
          <w:rFonts w:ascii="宋体" w:hAnsi="宋体" w:eastAsia="宋体" w:cs="宋体"/>
          <w:bCs/>
          <w:iCs/>
          <w:kern w:val="2"/>
          <w:sz w:val="28"/>
          <w:szCs w:val="28"/>
        </w:rPr>
        <w:t>实现</w:t>
      </w:r>
      <w:r>
        <w:rPr>
          <w:rFonts w:hint="eastAsia" w:ascii="宋体" w:hAnsi="宋体" w:eastAsia="宋体" w:cs="宋体"/>
          <w:bCs/>
          <w:iCs/>
          <w:kern w:val="2"/>
          <w:sz w:val="28"/>
          <w:szCs w:val="28"/>
        </w:rPr>
        <w:t>“岗课证融通”、</w:t>
      </w:r>
      <w:r>
        <w:rPr>
          <w:rFonts w:ascii="宋体" w:hAnsi="宋体" w:eastAsia="宋体" w:cs="宋体"/>
          <w:bCs/>
          <w:iCs/>
          <w:kern w:val="2"/>
          <w:sz w:val="28"/>
          <w:szCs w:val="28"/>
        </w:rPr>
        <w:t>“以定促学，以定促评”评价模式改革。</w:t>
      </w:r>
    </w:p>
    <w:p w14:paraId="21832E75">
      <w:pPr>
        <w:widowControl w:val="0"/>
        <w:spacing w:after="0" w:line="360" w:lineRule="auto"/>
        <w:ind w:firstLine="562" w:firstLineChars="200"/>
        <w:jc w:val="both"/>
        <w:rPr>
          <w:rFonts w:ascii="宋体" w:hAnsi="宋体" w:eastAsia="宋体" w:cs="宋体"/>
          <w:bCs/>
          <w:iCs/>
          <w:kern w:val="2"/>
          <w:sz w:val="28"/>
          <w:szCs w:val="28"/>
        </w:rPr>
      </w:pPr>
      <w:r>
        <w:rPr>
          <w:rFonts w:hint="eastAsia" w:ascii="宋体" w:hAnsi="宋体" w:eastAsia="宋体" w:cs="宋体"/>
          <w:b/>
          <w:iCs/>
          <w:kern w:val="2"/>
          <w:sz w:val="28"/>
          <w:szCs w:val="28"/>
        </w:rPr>
        <w:t>5.企业共同参与学生工学交替实践评价，提升学生综合实践能力</w:t>
      </w:r>
    </w:p>
    <w:p w14:paraId="409A035D">
      <w:pPr>
        <w:widowControl w:val="0"/>
        <w:spacing w:after="0" w:line="360" w:lineRule="auto"/>
        <w:ind w:firstLine="560" w:firstLineChars="200"/>
        <w:jc w:val="both"/>
        <w:rPr>
          <w:rFonts w:ascii="宋体" w:hAnsi="宋体" w:eastAsia="宋体" w:cs="宋体"/>
          <w:bCs/>
          <w:iCs/>
          <w:kern w:val="2"/>
          <w:sz w:val="28"/>
          <w:szCs w:val="28"/>
        </w:rPr>
      </w:pPr>
      <w:r>
        <w:rPr>
          <w:rFonts w:ascii="宋体" w:hAnsi="宋体" w:eastAsia="宋体" w:cs="宋体"/>
          <w:bCs/>
          <w:iCs/>
          <w:kern w:val="2"/>
          <w:sz w:val="28"/>
          <w:szCs w:val="28"/>
        </w:rPr>
        <w:t>充分发挥</w:t>
      </w:r>
      <w:r>
        <w:rPr>
          <w:rFonts w:hint="eastAsia" w:ascii="宋体" w:hAnsi="宋体" w:eastAsia="宋体" w:cs="宋体"/>
          <w:bCs/>
          <w:iCs/>
          <w:kern w:val="2"/>
          <w:sz w:val="28"/>
          <w:szCs w:val="28"/>
        </w:rPr>
        <w:t>财会</w:t>
      </w:r>
      <w:r>
        <w:rPr>
          <w:rFonts w:ascii="宋体" w:hAnsi="宋体" w:eastAsia="宋体" w:cs="宋体"/>
          <w:bCs/>
          <w:iCs/>
          <w:kern w:val="2"/>
          <w:sz w:val="28"/>
          <w:szCs w:val="28"/>
        </w:rPr>
        <w:t>专业校企资源优势，依托校内外实训基地，广泛开展学生实训基地见习、工学交替实践，制定学生</w:t>
      </w:r>
      <w:r>
        <w:rPr>
          <w:rFonts w:hint="eastAsia" w:ascii="宋体" w:hAnsi="宋体" w:eastAsia="宋体" w:cs="宋体"/>
          <w:bCs/>
          <w:iCs/>
          <w:kern w:val="2"/>
          <w:sz w:val="28"/>
          <w:szCs w:val="28"/>
        </w:rPr>
        <w:t>工</w:t>
      </w:r>
      <w:r>
        <w:rPr>
          <w:rFonts w:ascii="宋体" w:hAnsi="宋体" w:eastAsia="宋体" w:cs="宋体"/>
          <w:bCs/>
          <w:iCs/>
          <w:kern w:val="2"/>
          <w:sz w:val="28"/>
          <w:szCs w:val="28"/>
        </w:rPr>
        <w:t>学交替实践考核评价细则、优秀实习生评价标准等，通过校企双方面共同评价学生工学交替实习的</w:t>
      </w:r>
      <w:r>
        <w:rPr>
          <w:rFonts w:hint="eastAsia" w:ascii="宋体" w:hAnsi="宋体" w:eastAsia="宋体" w:cs="宋体"/>
          <w:bCs/>
          <w:iCs/>
          <w:kern w:val="2"/>
          <w:sz w:val="28"/>
          <w:szCs w:val="28"/>
        </w:rPr>
        <w:t>效果</w:t>
      </w:r>
      <w:r>
        <w:rPr>
          <w:rFonts w:ascii="宋体" w:hAnsi="宋体" w:eastAsia="宋体" w:cs="宋体"/>
          <w:bCs/>
          <w:iCs/>
          <w:kern w:val="2"/>
          <w:sz w:val="28"/>
          <w:szCs w:val="28"/>
        </w:rPr>
        <w:t>。</w:t>
      </w:r>
    </w:p>
    <w:p w14:paraId="6F7FDDD9">
      <w:pPr>
        <w:widowControl w:val="0"/>
        <w:spacing w:after="0" w:line="360" w:lineRule="auto"/>
        <w:ind w:firstLine="562" w:firstLineChars="200"/>
        <w:jc w:val="both"/>
        <w:rPr>
          <w:rFonts w:ascii="宋体" w:hAnsi="宋体" w:eastAsia="宋体" w:cs="宋体"/>
          <w:bCs/>
          <w:iCs/>
          <w:kern w:val="2"/>
          <w:sz w:val="28"/>
          <w:szCs w:val="28"/>
        </w:rPr>
      </w:pPr>
      <w:r>
        <w:rPr>
          <w:rFonts w:hint="eastAsia" w:ascii="宋体" w:hAnsi="宋体" w:eastAsia="宋体" w:cs="宋体"/>
          <w:b/>
          <w:iCs/>
          <w:kern w:val="2"/>
          <w:sz w:val="28"/>
          <w:szCs w:val="28"/>
        </w:rPr>
        <w:t>6.加强学生岗位实习跟踪管理，形成多元参与的岗位实习评价机制</w:t>
      </w:r>
    </w:p>
    <w:p w14:paraId="176ED096">
      <w:pPr>
        <w:widowControl w:val="0"/>
        <w:spacing w:after="0" w:line="360" w:lineRule="auto"/>
        <w:ind w:firstLine="560" w:firstLineChars="200"/>
        <w:jc w:val="both"/>
        <w:rPr>
          <w:rFonts w:ascii="宋体" w:hAnsi="宋体" w:eastAsia="宋体" w:cs="宋体"/>
          <w:bCs/>
          <w:iCs/>
          <w:kern w:val="2"/>
          <w:sz w:val="28"/>
          <w:szCs w:val="28"/>
        </w:rPr>
      </w:pPr>
      <w:r>
        <w:rPr>
          <w:rFonts w:ascii="宋体" w:hAnsi="宋体" w:eastAsia="宋体" w:cs="宋体"/>
          <w:bCs/>
          <w:iCs/>
          <w:kern w:val="2"/>
          <w:sz w:val="28"/>
          <w:szCs w:val="28"/>
        </w:rPr>
        <w:t>创新学生顶岗实习管理机制，完善</w:t>
      </w:r>
      <w:r>
        <w:rPr>
          <w:rFonts w:hint="eastAsia" w:ascii="宋体" w:hAnsi="宋体" w:eastAsia="宋体" w:cs="宋体"/>
          <w:bCs/>
          <w:iCs/>
          <w:kern w:val="2"/>
          <w:sz w:val="28"/>
          <w:szCs w:val="28"/>
        </w:rPr>
        <w:t>会计信息管理</w:t>
      </w:r>
      <w:r>
        <w:rPr>
          <w:rFonts w:ascii="宋体" w:hAnsi="宋体" w:eastAsia="宋体" w:cs="宋体"/>
          <w:bCs/>
          <w:iCs/>
          <w:kern w:val="2"/>
          <w:sz w:val="28"/>
          <w:szCs w:val="28"/>
        </w:rPr>
        <w:t>专业校企共同评价学生综合能力的内容和形式。广泛与合作企业研讨，制定校企合作协议，学生赴企业顶岗实习管理制度，学生实习就业协议等，完善班主任参与顶岗实习学生管理的相关规定，根据学生顶岗实习成绩评定表，实习总结，企业实习员工评价等相关资料综合评定学生顶岗实习成绩。依托数字化校园环境建设，逐步实现学生顶岗实习远程管理，创新基于网络平台的学生自评、互评、班主任评价、企业管理者评价等方式。</w:t>
      </w:r>
      <w:bookmarkEnd w:id="137"/>
      <w:bookmarkEnd w:id="138"/>
      <w:bookmarkEnd w:id="139"/>
      <w:bookmarkEnd w:id="140"/>
      <w:bookmarkEnd w:id="141"/>
    </w:p>
    <w:p w14:paraId="1144BC9F">
      <w:pPr>
        <w:widowControl w:val="0"/>
        <w:spacing w:after="0" w:line="360" w:lineRule="auto"/>
        <w:ind w:firstLine="562" w:firstLineChars="200"/>
        <w:jc w:val="both"/>
        <w:rPr>
          <w:rFonts w:ascii="宋体" w:hAnsi="宋体" w:eastAsia="宋体" w:cs="宋体"/>
          <w:b/>
          <w:iCs/>
          <w:kern w:val="2"/>
          <w:sz w:val="28"/>
          <w:szCs w:val="28"/>
        </w:rPr>
      </w:pPr>
      <w:bookmarkStart w:id="144" w:name="_Toc1136"/>
      <w:bookmarkStart w:id="145" w:name="_Toc28351"/>
      <w:bookmarkStart w:id="146" w:name="_Toc77884810"/>
      <w:bookmarkStart w:id="147" w:name="_Toc30164"/>
      <w:bookmarkStart w:id="148" w:name="_Toc22646"/>
      <w:bookmarkStart w:id="149" w:name="_Toc77885012"/>
      <w:r>
        <w:rPr>
          <w:rFonts w:hint="eastAsia" w:ascii="宋体" w:hAnsi="宋体" w:eastAsia="宋体" w:cs="宋体"/>
          <w:b/>
          <w:iCs/>
          <w:kern w:val="2"/>
          <w:sz w:val="28"/>
          <w:szCs w:val="28"/>
        </w:rPr>
        <w:t>（六）质量管理</w:t>
      </w:r>
      <w:bookmarkEnd w:id="144"/>
      <w:bookmarkEnd w:id="145"/>
      <w:bookmarkEnd w:id="146"/>
      <w:bookmarkEnd w:id="147"/>
      <w:bookmarkEnd w:id="148"/>
      <w:bookmarkEnd w:id="149"/>
    </w:p>
    <w:p w14:paraId="1504E719">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1.为落实《国家职业教育改革实施方案》，推进国家教学标准落地实施，提升本专业教育教学质量，根据每年度《职业院校人才培养工作状态数据采集》、《职业院校教育质量年报》及甘肃省职业院校教学质量诊断与改进机制等工作要求，学院建立健全专业教学质量监控管理制度，不断完善课堂教学、教学评价、实习实训、毕业设计以及专业调研、人才培养方案更新、资源建设等方面质量标准建设，通过教学实施、过程监控、质量评价和持续改进，达成人才培养规格。</w:t>
      </w:r>
    </w:p>
    <w:p w14:paraId="78225A8F">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2.学院与二级学院不断修订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14:paraId="58F90DCB">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3.学院与二级学院共同合作，建立毕业生跟踪反馈机制及社会评价机制，并对生源情况、在校生学业水平、毕业生就业情况等进行分析，定期评价人才培养质量和培养目标达成情况。</w:t>
      </w:r>
    </w:p>
    <w:p w14:paraId="659309AC">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4.通过各专业教学部或专业教研积极参与教学质量诊断与改进工作，充分利用人才培养工作状态数据、质量年报、诊断与改进等评价分析结果，根据产业发展趋势和行业人才需求，引进行业企业、第三方评价机构等多方参与的专业人才培养方案动态调整机制，强化教师参与教学和课程改革的效果评价与激励，做好人才培养质量评价与反馈，持续提高人才培养质量。</w:t>
      </w:r>
    </w:p>
    <w:p w14:paraId="54E6FF06">
      <w:pPr>
        <w:widowControl w:val="0"/>
        <w:spacing w:after="0" w:line="360" w:lineRule="auto"/>
        <w:ind w:firstLine="562" w:firstLineChars="200"/>
        <w:jc w:val="both"/>
        <w:rPr>
          <w:rFonts w:ascii="宋体" w:hAnsi="宋体" w:eastAsia="宋体" w:cs="宋体"/>
          <w:b/>
          <w:iCs/>
          <w:kern w:val="2"/>
          <w:sz w:val="28"/>
          <w:szCs w:val="28"/>
        </w:rPr>
      </w:pPr>
      <w:bookmarkStart w:id="150" w:name="_Toc9413"/>
      <w:bookmarkStart w:id="151" w:name="_Toc1019"/>
      <w:bookmarkStart w:id="152" w:name="_Toc16234"/>
      <w:bookmarkStart w:id="153" w:name="_Toc77885013"/>
      <w:bookmarkStart w:id="154" w:name="_Toc1267"/>
      <w:bookmarkStart w:id="155" w:name="_Toc77884811"/>
      <w:r>
        <w:rPr>
          <w:rFonts w:hint="eastAsia" w:ascii="宋体" w:hAnsi="宋体" w:eastAsia="宋体" w:cs="宋体"/>
          <w:b/>
          <w:iCs/>
          <w:kern w:val="2"/>
          <w:sz w:val="28"/>
          <w:szCs w:val="28"/>
        </w:rPr>
        <w:t>九、毕业要求</w:t>
      </w:r>
      <w:bookmarkEnd w:id="150"/>
      <w:bookmarkEnd w:id="151"/>
      <w:bookmarkEnd w:id="152"/>
      <w:bookmarkEnd w:id="153"/>
      <w:bookmarkEnd w:id="154"/>
      <w:bookmarkEnd w:id="155"/>
    </w:p>
    <w:p w14:paraId="3CD26677">
      <w:pPr>
        <w:widowControl w:val="0"/>
        <w:spacing w:after="0" w:line="360" w:lineRule="auto"/>
        <w:ind w:firstLine="562" w:firstLineChars="200"/>
        <w:jc w:val="both"/>
        <w:rPr>
          <w:rFonts w:ascii="宋体" w:hAnsi="宋体" w:eastAsia="宋体" w:cs="宋体"/>
          <w:b/>
          <w:iCs/>
          <w:kern w:val="2"/>
          <w:sz w:val="28"/>
          <w:szCs w:val="28"/>
        </w:rPr>
      </w:pPr>
      <w:bookmarkStart w:id="156" w:name="_Toc1536"/>
      <w:r>
        <w:rPr>
          <w:rFonts w:hint="eastAsia" w:ascii="宋体" w:hAnsi="宋体" w:eastAsia="宋体" w:cs="宋体"/>
          <w:b/>
          <w:iCs/>
          <w:kern w:val="2"/>
          <w:sz w:val="28"/>
          <w:szCs w:val="28"/>
          <w:lang w:val="zh-CN"/>
        </w:rPr>
        <w:t>（</w:t>
      </w:r>
      <w:r>
        <w:rPr>
          <w:rFonts w:hint="eastAsia" w:ascii="宋体" w:hAnsi="宋体" w:eastAsia="宋体" w:cs="宋体"/>
          <w:b/>
          <w:iCs/>
          <w:kern w:val="2"/>
          <w:sz w:val="28"/>
          <w:szCs w:val="28"/>
        </w:rPr>
        <w:t>一</w:t>
      </w:r>
      <w:r>
        <w:rPr>
          <w:rFonts w:hint="eastAsia" w:ascii="宋体" w:hAnsi="宋体" w:eastAsia="宋体" w:cs="宋体"/>
          <w:b/>
          <w:iCs/>
          <w:kern w:val="2"/>
          <w:sz w:val="28"/>
          <w:szCs w:val="28"/>
          <w:lang w:val="zh-CN"/>
        </w:rPr>
        <w:t>）学时学分及成绩要求</w:t>
      </w:r>
      <w:bookmarkEnd w:id="156"/>
    </w:p>
    <w:p w14:paraId="6EB1C289">
      <w:pPr>
        <w:widowControl w:val="0"/>
        <w:spacing w:after="0" w:line="360" w:lineRule="auto"/>
        <w:ind w:firstLine="560" w:firstLineChars="200"/>
        <w:jc w:val="both"/>
        <w:rPr>
          <w:rFonts w:ascii="宋体" w:hAnsi="宋体" w:eastAsia="宋体" w:cs="宋体"/>
          <w:bCs/>
          <w:iCs/>
          <w:kern w:val="2"/>
          <w:sz w:val="28"/>
          <w:szCs w:val="28"/>
        </w:rPr>
      </w:pPr>
      <w:bookmarkStart w:id="157" w:name="_Toc31885"/>
      <w:r>
        <w:rPr>
          <w:rFonts w:hint="eastAsia" w:ascii="宋体" w:hAnsi="宋体" w:eastAsia="宋体" w:cs="宋体"/>
          <w:bCs/>
          <w:iCs/>
          <w:kern w:val="2"/>
          <w:sz w:val="28"/>
          <w:szCs w:val="28"/>
        </w:rPr>
        <w:t>1.必修课程的成绩全部合格，中职修满156分、高职修满108分。</w:t>
      </w:r>
    </w:p>
    <w:p w14:paraId="348103C5">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2.《国家学生体质健康标准》测评合格。</w:t>
      </w:r>
    </w:p>
    <w:p w14:paraId="547A7C19">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3.综合素质测评合格。</w:t>
      </w:r>
    </w:p>
    <w:p w14:paraId="79F7BB9F">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4.证书要求</w:t>
      </w:r>
    </w:p>
    <w:p w14:paraId="2FE5BC39">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1）中职学段必须考取以下任意一种证书，方可转段考核升入高职学段：智能财税职业技能等级证书（初级）；业财一体信息化职业技能等级证书（初级）；企业财务机器人应用（初级）；普通话等级证（二级乙等）</w:t>
      </w:r>
    </w:p>
    <w:p w14:paraId="1B729B1E">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（2）高职学段推荐考取证书：</w:t>
      </w:r>
    </w:p>
    <w:p w14:paraId="16B5A185">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初级会计资格证书</w:t>
      </w:r>
    </w:p>
    <w:p w14:paraId="51023A11">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全国计算机二级；</w:t>
      </w:r>
    </w:p>
    <w:p w14:paraId="5D7A7458">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高等学校英语应用能力考试AB级英语证书</w:t>
      </w:r>
    </w:p>
    <w:p w14:paraId="3DCE2976">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智能财税职业技能等级证书（中级）</w:t>
      </w:r>
    </w:p>
    <w:p w14:paraId="29197760">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企业财务机器人应用（中级）</w:t>
      </w:r>
    </w:p>
    <w:p w14:paraId="510559BE">
      <w:pPr>
        <w:widowControl w:val="0"/>
        <w:spacing w:after="0" w:line="360" w:lineRule="auto"/>
        <w:ind w:firstLine="562" w:firstLineChars="200"/>
        <w:jc w:val="both"/>
        <w:rPr>
          <w:rFonts w:ascii="宋体" w:hAnsi="宋体" w:eastAsia="宋体" w:cs="宋体"/>
          <w:bCs/>
          <w:iCs/>
          <w:kern w:val="2"/>
          <w:sz w:val="28"/>
          <w:szCs w:val="28"/>
        </w:rPr>
      </w:pPr>
      <w:r>
        <w:rPr>
          <w:rFonts w:hint="eastAsia" w:ascii="宋体" w:hAnsi="宋体" w:eastAsia="宋体" w:cs="宋体"/>
          <w:b/>
          <w:iCs/>
          <w:kern w:val="2"/>
          <w:sz w:val="28"/>
          <w:szCs w:val="28"/>
          <w:lang w:val="zh-CN"/>
        </w:rPr>
        <w:t>（二）基础素养能力要求</w:t>
      </w:r>
      <w:bookmarkEnd w:id="157"/>
    </w:p>
    <w:p w14:paraId="5550ACE2">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1.具有良好的思想道德和职业道德修养。</w:t>
      </w:r>
    </w:p>
    <w:p w14:paraId="1305324C">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2.具有良好的文化修养。</w:t>
      </w:r>
    </w:p>
    <w:p w14:paraId="49673911">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3.具有良好的身体素质。</w:t>
      </w:r>
    </w:p>
    <w:p w14:paraId="18052881">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4.具有良好的心理素质。</w:t>
      </w:r>
    </w:p>
    <w:p w14:paraId="18EFA2D9">
      <w:pPr>
        <w:widowControl w:val="0"/>
        <w:spacing w:after="0" w:line="360" w:lineRule="auto"/>
        <w:ind w:firstLine="562" w:firstLineChars="200"/>
        <w:jc w:val="both"/>
        <w:rPr>
          <w:rFonts w:ascii="宋体" w:hAnsi="宋体" w:eastAsia="宋体" w:cs="宋体"/>
          <w:bCs/>
          <w:iCs/>
          <w:kern w:val="2"/>
          <w:sz w:val="28"/>
          <w:szCs w:val="28"/>
        </w:rPr>
      </w:pPr>
      <w:bookmarkStart w:id="158" w:name="_Toc7611"/>
      <w:r>
        <w:rPr>
          <w:rFonts w:hint="eastAsia" w:ascii="宋体" w:hAnsi="宋体" w:eastAsia="宋体" w:cs="宋体"/>
          <w:b/>
          <w:iCs/>
          <w:kern w:val="2"/>
          <w:sz w:val="28"/>
          <w:szCs w:val="28"/>
        </w:rPr>
        <w:t>（三）职业能力要求</w:t>
      </w:r>
      <w:bookmarkEnd w:id="158"/>
    </w:p>
    <w:p w14:paraId="3C472B56">
      <w:pPr>
        <w:widowControl w:val="0"/>
        <w:spacing w:after="0" w:line="360" w:lineRule="auto"/>
        <w:ind w:firstLine="562" w:firstLineChars="200"/>
        <w:jc w:val="both"/>
        <w:rPr>
          <w:rFonts w:ascii="宋体" w:hAnsi="宋体" w:eastAsia="宋体" w:cs="宋体"/>
          <w:b/>
          <w:iCs/>
          <w:kern w:val="2"/>
          <w:sz w:val="28"/>
          <w:szCs w:val="28"/>
        </w:rPr>
      </w:pPr>
      <w:r>
        <w:rPr>
          <w:rFonts w:hint="eastAsia" w:ascii="宋体" w:hAnsi="宋体" w:eastAsia="宋体" w:cs="宋体"/>
          <w:b/>
          <w:iCs/>
          <w:kern w:val="2"/>
          <w:sz w:val="28"/>
          <w:szCs w:val="28"/>
        </w:rPr>
        <w:t>1.基层作业操作能力</w:t>
      </w:r>
    </w:p>
    <w:p w14:paraId="1156472E">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主要包括具有扎实的专业理论基；独立处理实务中出现的一般性业务问题；按时完成各类税种申报缴款工作；按时完成上月所有会计处理事项；文档管理规范有序并能适时更新；掌握客户基本资料；了解掌握客户所处行业的最新政策动态和掌握工作中所设计的最新税收、财政及社保等政策。</w:t>
      </w:r>
    </w:p>
    <w:p w14:paraId="35F56762">
      <w:pPr>
        <w:widowControl w:val="0"/>
        <w:spacing w:after="0" w:line="360" w:lineRule="auto"/>
        <w:ind w:firstLine="562" w:firstLineChars="200"/>
        <w:jc w:val="both"/>
        <w:rPr>
          <w:rFonts w:ascii="宋体" w:hAnsi="宋体" w:eastAsia="宋体" w:cs="宋体"/>
          <w:bCs/>
          <w:iCs/>
          <w:kern w:val="2"/>
          <w:sz w:val="28"/>
          <w:szCs w:val="28"/>
        </w:rPr>
      </w:pPr>
      <w:r>
        <w:rPr>
          <w:rFonts w:hint="eastAsia" w:ascii="宋体" w:hAnsi="宋体" w:eastAsia="宋体" w:cs="宋体"/>
          <w:b/>
          <w:iCs/>
          <w:kern w:val="2"/>
          <w:sz w:val="28"/>
          <w:szCs w:val="28"/>
        </w:rPr>
        <w:t>2.执行能力</w:t>
      </w:r>
    </w:p>
    <w:p w14:paraId="228BF2DF">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有一定的财务分析能力，将管理者的决策化解为具体的计划、方案等能力。</w:t>
      </w:r>
    </w:p>
    <w:p w14:paraId="6DF10770">
      <w:pPr>
        <w:widowControl w:val="0"/>
        <w:spacing w:after="0" w:line="360" w:lineRule="auto"/>
        <w:ind w:firstLine="562" w:firstLineChars="200"/>
        <w:jc w:val="both"/>
        <w:rPr>
          <w:rFonts w:ascii="宋体" w:hAnsi="宋体" w:eastAsia="宋体" w:cs="宋体"/>
          <w:b/>
          <w:iCs/>
          <w:kern w:val="2"/>
          <w:sz w:val="28"/>
          <w:szCs w:val="28"/>
        </w:rPr>
      </w:pPr>
      <w:r>
        <w:rPr>
          <w:rFonts w:hint="eastAsia" w:ascii="宋体" w:hAnsi="宋体" w:eastAsia="宋体" w:cs="宋体"/>
          <w:b/>
          <w:iCs/>
          <w:kern w:val="2"/>
          <w:sz w:val="28"/>
          <w:szCs w:val="28"/>
        </w:rPr>
        <w:t>3.管理能力</w:t>
      </w:r>
    </w:p>
    <w:p w14:paraId="52B736E4">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具有风险控制、资本管理、预算和成本控制、战略管理、业绩考评等能力。</w:t>
      </w:r>
    </w:p>
    <w:p w14:paraId="59C1B58C">
      <w:pPr>
        <w:widowControl w:val="0"/>
        <w:spacing w:after="0" w:line="360" w:lineRule="auto"/>
        <w:ind w:firstLine="562" w:firstLineChars="200"/>
        <w:jc w:val="both"/>
        <w:rPr>
          <w:rFonts w:ascii="宋体" w:hAnsi="宋体" w:eastAsia="宋体" w:cs="宋体"/>
          <w:bCs/>
          <w:iCs/>
          <w:kern w:val="2"/>
          <w:sz w:val="28"/>
          <w:szCs w:val="28"/>
        </w:rPr>
      </w:pPr>
      <w:r>
        <w:rPr>
          <w:rFonts w:hint="eastAsia" w:ascii="宋体" w:hAnsi="宋体" w:eastAsia="宋体" w:cs="宋体"/>
          <w:b/>
          <w:iCs/>
          <w:kern w:val="2"/>
          <w:sz w:val="28"/>
          <w:szCs w:val="28"/>
        </w:rPr>
        <w:t>4.创新拓展能力</w:t>
      </w:r>
    </w:p>
    <w:p w14:paraId="775EAB33">
      <w:pPr>
        <w:widowControl w:val="0"/>
        <w:spacing w:after="0" w:line="360" w:lineRule="auto"/>
        <w:ind w:firstLine="560" w:firstLineChars="200"/>
        <w:jc w:val="both"/>
        <w:rPr>
          <w:rFonts w:ascii="宋体" w:hAnsi="宋体" w:eastAsia="宋体" w:cs="宋体"/>
          <w:bCs/>
          <w:iCs/>
          <w:kern w:val="2"/>
          <w:sz w:val="28"/>
          <w:szCs w:val="28"/>
        </w:rPr>
      </w:pPr>
      <w:r>
        <w:rPr>
          <w:rFonts w:hint="eastAsia" w:ascii="宋体" w:hAnsi="宋体" w:eastAsia="宋体" w:cs="宋体"/>
          <w:bCs/>
          <w:iCs/>
          <w:kern w:val="2"/>
          <w:sz w:val="28"/>
          <w:szCs w:val="28"/>
        </w:rPr>
        <w:t>具有沟通和团队协作能力，有创新意识，能够推陈出新。</w:t>
      </w:r>
    </w:p>
    <w:p w14:paraId="05DAC096">
      <w:pPr>
        <w:widowControl w:val="0"/>
        <w:spacing w:after="0" w:line="360" w:lineRule="auto"/>
        <w:ind w:firstLine="562" w:firstLineChars="200"/>
        <w:jc w:val="both"/>
        <w:rPr>
          <w:rFonts w:ascii="宋体" w:hAnsi="宋体" w:eastAsia="宋体" w:cs="宋体"/>
          <w:bCs/>
          <w:iCs/>
          <w:kern w:val="2"/>
          <w:sz w:val="28"/>
          <w:szCs w:val="28"/>
        </w:rPr>
      </w:pPr>
      <w:bookmarkStart w:id="159" w:name="_Toc30536"/>
      <w:bookmarkStart w:id="160" w:name="_Toc5601"/>
      <w:r>
        <w:rPr>
          <w:rFonts w:hint="eastAsia" w:ascii="宋体" w:hAnsi="宋体" w:eastAsia="宋体" w:cs="宋体"/>
          <w:b/>
          <w:iCs/>
          <w:kern w:val="2"/>
          <w:sz w:val="28"/>
          <w:szCs w:val="28"/>
        </w:rPr>
        <w:t>十、附录</w:t>
      </w:r>
      <w:bookmarkEnd w:id="159"/>
      <w:bookmarkEnd w:id="160"/>
    </w:p>
    <w:p w14:paraId="341AF41D">
      <w:pPr>
        <w:widowControl w:val="0"/>
        <w:spacing w:after="0" w:line="360" w:lineRule="auto"/>
        <w:ind w:firstLine="560" w:firstLineChars="200"/>
        <w:jc w:val="both"/>
        <w:rPr>
          <w:rFonts w:ascii="宋体" w:cs="宋体+FPEF"/>
          <w:sz w:val="28"/>
          <w:szCs w:val="28"/>
        </w:rPr>
        <w:sectPr>
          <w:footerReference r:id="rId6" w:type="default"/>
          <w:pgSz w:w="11906" w:h="16838"/>
          <w:pgMar w:top="1440" w:right="1800" w:bottom="1440" w:left="1800" w:header="851" w:footer="992" w:gutter="0"/>
          <w:pgNumType w:start="0"/>
          <w:cols w:space="425" w:num="1"/>
          <w:titlePg/>
          <w:docGrid w:type="lines" w:linePitch="312" w:charSpace="0"/>
        </w:sectPr>
      </w:pPr>
      <w:bookmarkStart w:id="161" w:name="_Toc7115"/>
      <w:r>
        <w:rPr>
          <w:rFonts w:hint="eastAsia" w:ascii="宋体" w:hAnsi="宋体" w:eastAsia="宋体" w:cs="宋体"/>
          <w:bCs/>
          <w:iCs/>
          <w:kern w:val="2"/>
          <w:sz w:val="28"/>
          <w:szCs w:val="28"/>
        </w:rPr>
        <w:t>（一）</w:t>
      </w:r>
      <w:r>
        <w:rPr>
          <w:rFonts w:hint="eastAsia" w:ascii="宋体" w:hAnsi="宋体"/>
          <w:bCs/>
          <w:color w:val="000000"/>
          <w:sz w:val="28"/>
          <w:szCs w:val="28"/>
        </w:rPr>
        <w:t>教学进程安排表</w:t>
      </w:r>
    </w:p>
    <w:bookmarkEnd w:id="161"/>
    <w:tbl>
      <w:tblPr>
        <w:tblStyle w:val="13"/>
        <w:tblW w:w="5000" w:type="pct"/>
        <w:tblInd w:w="0" w:type="dxa"/>
        <w:tblLayout w:type="fixed"/>
        <w:tblCellMar>
          <w:top w:w="0" w:type="dxa"/>
          <w:left w:w="108" w:type="dxa"/>
          <w:bottom w:w="0" w:type="dxa"/>
          <w:right w:w="108" w:type="dxa"/>
        </w:tblCellMar>
      </w:tblPr>
      <w:tblGrid>
        <w:gridCol w:w="14174"/>
      </w:tblGrid>
      <w:tr w14:paraId="3D420CF3">
        <w:tblPrEx>
          <w:tblCellMar>
            <w:top w:w="0" w:type="dxa"/>
            <w:left w:w="108" w:type="dxa"/>
            <w:bottom w:w="0" w:type="dxa"/>
            <w:right w:w="108" w:type="dxa"/>
          </w:tblCellMar>
        </w:tblPrEx>
        <w:trPr>
          <w:trHeight w:val="8847" w:hRule="atLeast"/>
        </w:trPr>
        <w:tc>
          <w:tcPr>
            <w:tcW w:w="5000" w:type="pct"/>
            <w:tcBorders>
              <w:top w:val="nil"/>
              <w:left w:val="nil"/>
              <w:bottom w:val="nil"/>
              <w:right w:val="nil"/>
            </w:tcBorders>
            <w:shd w:val="clear" w:color="auto" w:fill="auto"/>
            <w:noWrap/>
            <w:vAlign w:val="center"/>
          </w:tcPr>
          <w:p w14:paraId="0913CA2A">
            <w:pPr>
              <w:rPr>
                <w:rFonts w:ascii="宋体" w:hAnsi="宋体"/>
                <w:bCs/>
                <w:color w:val="000000"/>
                <w:sz w:val="28"/>
                <w:szCs w:val="28"/>
              </w:rPr>
            </w:pPr>
            <w:r>
              <w:rPr>
                <w:rFonts w:hint="eastAsia" w:ascii="宋体" w:hAnsi="宋体"/>
                <w:bCs/>
                <w:color w:val="000000"/>
                <w:sz w:val="28"/>
                <w:szCs w:val="28"/>
              </w:rPr>
              <w:t>附件1：教学进程安排表</w:t>
            </w:r>
          </w:p>
          <w:tbl>
            <w:tblPr>
              <w:tblStyle w:val="13"/>
              <w:tblW w:w="13480" w:type="dxa"/>
              <w:jc w:val="center"/>
              <w:tblLayout w:type="fixed"/>
              <w:tblCellMar>
                <w:top w:w="0" w:type="dxa"/>
                <w:left w:w="108" w:type="dxa"/>
                <w:bottom w:w="0" w:type="dxa"/>
                <w:right w:w="108" w:type="dxa"/>
              </w:tblCellMar>
            </w:tblPr>
            <w:tblGrid>
              <w:gridCol w:w="12"/>
              <w:gridCol w:w="458"/>
              <w:gridCol w:w="471"/>
              <w:gridCol w:w="521"/>
              <w:gridCol w:w="2127"/>
              <w:gridCol w:w="567"/>
              <w:gridCol w:w="477"/>
              <w:gridCol w:w="586"/>
              <w:gridCol w:w="573"/>
              <w:gridCol w:w="653"/>
              <w:gridCol w:w="653"/>
              <w:gridCol w:w="547"/>
              <w:gridCol w:w="533"/>
              <w:gridCol w:w="533"/>
              <w:gridCol w:w="560"/>
              <w:gridCol w:w="639"/>
              <w:gridCol w:w="586"/>
              <w:gridCol w:w="665"/>
              <w:gridCol w:w="480"/>
              <w:gridCol w:w="148"/>
              <w:gridCol w:w="465"/>
              <w:gridCol w:w="521"/>
              <w:gridCol w:w="705"/>
            </w:tblGrid>
            <w:tr w14:paraId="36775212">
              <w:tblPrEx>
                <w:tblCellMar>
                  <w:top w:w="0" w:type="dxa"/>
                  <w:left w:w="108" w:type="dxa"/>
                  <w:bottom w:w="0" w:type="dxa"/>
                  <w:right w:w="108" w:type="dxa"/>
                </w:tblCellMar>
              </w:tblPrEx>
              <w:trPr>
                <w:gridBefore w:val="1"/>
                <w:gridAfter w:val="3"/>
                <w:wBefore w:w="12" w:type="dxa"/>
                <w:wAfter w:w="1691" w:type="dxa"/>
                <w:trHeight w:val="420" w:hRule="atLeast"/>
                <w:jc w:val="center"/>
              </w:trPr>
              <w:tc>
                <w:tcPr>
                  <w:tcW w:w="11777" w:type="dxa"/>
                  <w:gridSpan w:val="19"/>
                  <w:tcBorders>
                    <w:top w:val="nil"/>
                    <w:left w:val="nil"/>
                    <w:bottom w:val="nil"/>
                    <w:right w:val="nil"/>
                  </w:tcBorders>
                  <w:shd w:val="clear" w:color="auto" w:fill="auto"/>
                  <w:noWrap/>
                  <w:vAlign w:val="center"/>
                </w:tcPr>
                <w:p w14:paraId="573F67A0">
                  <w:pPr>
                    <w:jc w:val="center"/>
                    <w:textAlignment w:val="center"/>
                    <w:rPr>
                      <w:rFonts w:ascii="宋体" w:hAnsi="宋体" w:eastAsia="宋体" w:cs="宋体"/>
                      <w:b/>
                      <w:bCs/>
                      <w:color w:val="000000"/>
                      <w:sz w:val="32"/>
                      <w:szCs w:val="32"/>
                    </w:rPr>
                  </w:pPr>
                  <w:r>
                    <w:rPr>
                      <w:rFonts w:hint="eastAsia" w:ascii="宋体" w:hAnsi="宋体" w:eastAsia="宋体" w:cs="宋体"/>
                      <w:b/>
                      <w:bCs/>
                      <w:color w:val="000000"/>
                      <w:sz w:val="32"/>
                      <w:szCs w:val="32"/>
                      <w:lang w:bidi="ar"/>
                    </w:rPr>
                    <w:t>会计信息管理专业3+2中高职贯通专业教学进程安排表</w:t>
                  </w:r>
                </w:p>
              </w:tc>
            </w:tr>
            <w:tr w14:paraId="6423FB73">
              <w:tblPrEx>
                <w:tblCellMar>
                  <w:top w:w="0" w:type="dxa"/>
                  <w:left w:w="108" w:type="dxa"/>
                  <w:bottom w:w="0" w:type="dxa"/>
                  <w:right w:w="108" w:type="dxa"/>
                </w:tblCellMar>
              </w:tblPrEx>
              <w:trPr>
                <w:trHeight w:val="675" w:hRule="atLeast"/>
                <w:jc w:val="center"/>
              </w:trPr>
              <w:tc>
                <w:tcPr>
                  <w:tcW w:w="94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945A6D">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课程</w:t>
                  </w:r>
                  <w:r>
                    <w:rPr>
                      <w:rFonts w:hint="eastAsia" w:ascii="宋体" w:hAnsi="宋体" w:eastAsia="宋体" w:cs="宋体"/>
                      <w:b/>
                      <w:bCs/>
                      <w:color w:val="000000"/>
                      <w:sz w:val="18"/>
                      <w:szCs w:val="18"/>
                      <w:lang w:bidi="ar"/>
                    </w:rPr>
                    <w:br w:type="textWrapping"/>
                  </w:r>
                  <w:r>
                    <w:rPr>
                      <w:rFonts w:hint="eastAsia" w:ascii="宋体" w:hAnsi="宋体" w:eastAsia="宋体" w:cs="宋体"/>
                      <w:b/>
                      <w:bCs/>
                      <w:color w:val="000000"/>
                      <w:sz w:val="18"/>
                      <w:szCs w:val="18"/>
                      <w:lang w:bidi="ar"/>
                    </w:rPr>
                    <w:t>类型</w:t>
                  </w:r>
                </w:p>
              </w:tc>
              <w:tc>
                <w:tcPr>
                  <w:tcW w:w="5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5DD1ED">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序号</w:t>
                  </w:r>
                </w:p>
              </w:tc>
              <w:tc>
                <w:tcPr>
                  <w:tcW w:w="212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4B5221">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课程名称</w:t>
                  </w:r>
                </w:p>
              </w:tc>
              <w:tc>
                <w:tcPr>
                  <w:tcW w:w="5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9A9E72">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学时</w:t>
                  </w:r>
                </w:p>
              </w:tc>
              <w:tc>
                <w:tcPr>
                  <w:tcW w:w="47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BD48D0">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学分</w:t>
                  </w:r>
                </w:p>
              </w:tc>
              <w:tc>
                <w:tcPr>
                  <w:tcW w:w="58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9F45C2">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周学时</w:t>
                  </w:r>
                </w:p>
              </w:tc>
              <w:tc>
                <w:tcPr>
                  <w:tcW w:w="12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43D00E">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学时分配</w:t>
                  </w:r>
                </w:p>
              </w:tc>
              <w:tc>
                <w:tcPr>
                  <w:tcW w:w="5809" w:type="dxa"/>
                  <w:gridSpan w:val="11"/>
                  <w:tcBorders>
                    <w:top w:val="single" w:color="000000" w:sz="4" w:space="0"/>
                    <w:left w:val="single" w:color="000000" w:sz="4" w:space="0"/>
                    <w:bottom w:val="single" w:color="000000" w:sz="4" w:space="0"/>
                    <w:right w:val="single" w:color="000000" w:sz="4" w:space="0"/>
                  </w:tcBorders>
                  <w:shd w:val="clear" w:color="auto" w:fill="auto"/>
                  <w:vAlign w:val="center"/>
                </w:tcPr>
                <w:p w14:paraId="5D91AC35">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学年、学期及周学时</w:t>
                  </w:r>
                </w:p>
              </w:tc>
              <w:tc>
                <w:tcPr>
                  <w:tcW w:w="12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8868A9">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考核</w:t>
                  </w:r>
                </w:p>
              </w:tc>
            </w:tr>
            <w:tr w14:paraId="2D3FB54D">
              <w:tblPrEx>
                <w:tblCellMar>
                  <w:top w:w="0" w:type="dxa"/>
                  <w:left w:w="108" w:type="dxa"/>
                  <w:bottom w:w="0" w:type="dxa"/>
                  <w:right w:w="108" w:type="dxa"/>
                </w:tblCellMar>
              </w:tblPrEx>
              <w:trPr>
                <w:trHeight w:val="450"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265BC">
                  <w:pPr>
                    <w:jc w:val="center"/>
                    <w:rPr>
                      <w:rFonts w:ascii="宋体" w:hAnsi="宋体" w:eastAsia="宋体" w:cs="宋体"/>
                      <w:b/>
                      <w:bCs/>
                      <w:color w:val="000000"/>
                      <w:sz w:val="18"/>
                      <w:szCs w:val="18"/>
                    </w:rPr>
                  </w:pPr>
                </w:p>
              </w:tc>
              <w:tc>
                <w:tcPr>
                  <w:tcW w:w="5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5B9E8">
                  <w:pPr>
                    <w:jc w:val="center"/>
                    <w:rPr>
                      <w:rFonts w:ascii="宋体" w:hAnsi="宋体" w:eastAsia="宋体" w:cs="宋体"/>
                      <w:b/>
                      <w:bCs/>
                      <w:color w:val="000000"/>
                      <w:sz w:val="18"/>
                      <w:szCs w:val="18"/>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A9E69A">
                  <w:pPr>
                    <w:jc w:val="center"/>
                    <w:rPr>
                      <w:rFonts w:ascii="宋体" w:hAnsi="宋体" w:eastAsia="宋体" w:cs="宋体"/>
                      <w:b/>
                      <w:bCs/>
                      <w:color w:val="000000"/>
                      <w:sz w:val="18"/>
                      <w:szCs w:val="18"/>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07C4F">
                  <w:pPr>
                    <w:jc w:val="center"/>
                    <w:rPr>
                      <w:rFonts w:ascii="宋体" w:hAnsi="宋体" w:eastAsia="宋体" w:cs="宋体"/>
                      <w:b/>
                      <w:bCs/>
                      <w:color w:val="000000"/>
                      <w:sz w:val="18"/>
                      <w:szCs w:val="18"/>
                    </w:rPr>
                  </w:pPr>
                </w:p>
              </w:tc>
              <w:tc>
                <w:tcPr>
                  <w:tcW w:w="4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DBEC9">
                  <w:pPr>
                    <w:jc w:val="center"/>
                    <w:rPr>
                      <w:rFonts w:ascii="宋体" w:hAnsi="宋体" w:eastAsia="宋体" w:cs="宋体"/>
                      <w:b/>
                      <w:bCs/>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D07ED">
                  <w:pPr>
                    <w:jc w:val="center"/>
                    <w:rPr>
                      <w:rFonts w:ascii="宋体" w:hAnsi="宋体" w:eastAsia="宋体" w:cs="宋体"/>
                      <w:b/>
                      <w:bCs/>
                      <w:color w:val="000000"/>
                      <w:sz w:val="18"/>
                      <w:szCs w:val="18"/>
                    </w:rPr>
                  </w:pPr>
                </w:p>
              </w:tc>
              <w:tc>
                <w:tcPr>
                  <w:tcW w:w="57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A5DFF2">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理论学时</w:t>
                  </w:r>
                </w:p>
              </w:tc>
              <w:tc>
                <w:tcPr>
                  <w:tcW w:w="65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8D2061">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实践学时</w:t>
                  </w:r>
                </w:p>
              </w:tc>
              <w:tc>
                <w:tcPr>
                  <w:tcW w:w="346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601FFE6E">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中职阶段</w:t>
                  </w:r>
                </w:p>
              </w:tc>
              <w:tc>
                <w:tcPr>
                  <w:tcW w:w="2344"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4670AFF5">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高职阶段</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B165A">
                  <w:pPr>
                    <w:jc w:val="center"/>
                    <w:rPr>
                      <w:rFonts w:ascii="宋体" w:hAnsi="宋体" w:eastAsia="宋体" w:cs="宋体"/>
                      <w:b/>
                      <w:bCs/>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357E6B">
                  <w:pPr>
                    <w:jc w:val="center"/>
                    <w:rPr>
                      <w:rFonts w:ascii="宋体" w:hAnsi="宋体" w:eastAsia="宋体" w:cs="宋体"/>
                      <w:b/>
                      <w:bCs/>
                      <w:color w:val="000000"/>
                      <w:sz w:val="18"/>
                      <w:szCs w:val="18"/>
                    </w:rPr>
                  </w:pPr>
                </w:p>
              </w:tc>
            </w:tr>
            <w:tr w14:paraId="1B4947CC">
              <w:tblPrEx>
                <w:tblCellMar>
                  <w:top w:w="0" w:type="dxa"/>
                  <w:left w:w="108" w:type="dxa"/>
                  <w:bottom w:w="0" w:type="dxa"/>
                  <w:right w:w="108" w:type="dxa"/>
                </w:tblCellMar>
              </w:tblPrEx>
              <w:trPr>
                <w:trHeight w:val="276"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B0A11">
                  <w:pPr>
                    <w:jc w:val="center"/>
                    <w:rPr>
                      <w:rFonts w:ascii="宋体" w:hAnsi="宋体" w:eastAsia="宋体" w:cs="宋体"/>
                      <w:b/>
                      <w:bCs/>
                      <w:color w:val="000000"/>
                      <w:sz w:val="18"/>
                      <w:szCs w:val="18"/>
                    </w:rPr>
                  </w:pPr>
                </w:p>
              </w:tc>
              <w:tc>
                <w:tcPr>
                  <w:tcW w:w="5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DDF68">
                  <w:pPr>
                    <w:jc w:val="center"/>
                    <w:rPr>
                      <w:rFonts w:ascii="宋体" w:hAnsi="宋体" w:eastAsia="宋体" w:cs="宋体"/>
                      <w:b/>
                      <w:bCs/>
                      <w:color w:val="000000"/>
                      <w:sz w:val="18"/>
                      <w:szCs w:val="18"/>
                    </w:rPr>
                  </w:pPr>
                </w:p>
              </w:tc>
              <w:tc>
                <w:tcPr>
                  <w:tcW w:w="212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05939">
                  <w:pPr>
                    <w:jc w:val="center"/>
                    <w:rPr>
                      <w:rFonts w:ascii="宋体" w:hAnsi="宋体" w:eastAsia="宋体" w:cs="宋体"/>
                      <w:b/>
                      <w:bCs/>
                      <w:color w:val="000000"/>
                      <w:sz w:val="18"/>
                      <w:szCs w:val="18"/>
                    </w:rPr>
                  </w:pPr>
                </w:p>
              </w:tc>
              <w:tc>
                <w:tcPr>
                  <w:tcW w:w="5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BA9AA">
                  <w:pPr>
                    <w:jc w:val="center"/>
                    <w:rPr>
                      <w:rFonts w:ascii="宋体" w:hAnsi="宋体" w:eastAsia="宋体" w:cs="宋体"/>
                      <w:b/>
                      <w:bCs/>
                      <w:color w:val="000000"/>
                      <w:sz w:val="18"/>
                      <w:szCs w:val="18"/>
                    </w:rPr>
                  </w:pPr>
                </w:p>
              </w:tc>
              <w:tc>
                <w:tcPr>
                  <w:tcW w:w="47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89CF2">
                  <w:pPr>
                    <w:jc w:val="center"/>
                    <w:rPr>
                      <w:rFonts w:ascii="宋体" w:hAnsi="宋体" w:eastAsia="宋体" w:cs="宋体"/>
                      <w:b/>
                      <w:bCs/>
                      <w:color w:val="000000"/>
                      <w:sz w:val="18"/>
                      <w:szCs w:val="18"/>
                    </w:rPr>
                  </w:pPr>
                </w:p>
              </w:tc>
              <w:tc>
                <w:tcPr>
                  <w:tcW w:w="58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19E6F9">
                  <w:pPr>
                    <w:jc w:val="center"/>
                    <w:rPr>
                      <w:rFonts w:ascii="宋体" w:hAnsi="宋体" w:eastAsia="宋体" w:cs="宋体"/>
                      <w:b/>
                      <w:bCs/>
                      <w:color w:val="000000"/>
                      <w:sz w:val="18"/>
                      <w:szCs w:val="18"/>
                    </w:rPr>
                  </w:pPr>
                </w:p>
              </w:tc>
              <w:tc>
                <w:tcPr>
                  <w:tcW w:w="57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BED058">
                  <w:pPr>
                    <w:jc w:val="center"/>
                    <w:rPr>
                      <w:rFonts w:ascii="宋体" w:hAnsi="宋体" w:eastAsia="宋体" w:cs="宋体"/>
                      <w:b/>
                      <w:bCs/>
                      <w:color w:val="000000"/>
                      <w:sz w:val="18"/>
                      <w:szCs w:val="18"/>
                    </w:rPr>
                  </w:pPr>
                </w:p>
              </w:tc>
              <w:tc>
                <w:tcPr>
                  <w:tcW w:w="65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BC3C5">
                  <w:pPr>
                    <w:jc w:val="center"/>
                    <w:rPr>
                      <w:rFonts w:ascii="宋体" w:hAnsi="宋体" w:eastAsia="宋体" w:cs="宋体"/>
                      <w:b/>
                      <w:bCs/>
                      <w:color w:val="000000"/>
                      <w:sz w:val="18"/>
                      <w:szCs w:val="18"/>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22386">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1</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9A60C">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D015">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3</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2988A">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4</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2909D">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5</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2D6DD">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6</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9B17B">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7</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A8351">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8</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C86C8">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9</w:t>
                  </w:r>
                </w:p>
              </w:tc>
              <w:tc>
                <w:tcPr>
                  <w:tcW w:w="6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BB5DA8">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10</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4B5F1">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考试</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4DC6F">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考查</w:t>
                  </w:r>
                </w:p>
              </w:tc>
            </w:tr>
            <w:tr w14:paraId="062E546A">
              <w:tblPrEx>
                <w:tblCellMar>
                  <w:top w:w="0" w:type="dxa"/>
                  <w:left w:w="108" w:type="dxa"/>
                  <w:bottom w:w="0" w:type="dxa"/>
                  <w:right w:w="108" w:type="dxa"/>
                </w:tblCellMar>
              </w:tblPrEx>
              <w:trPr>
                <w:trHeight w:val="1125" w:hRule="atLeast"/>
                <w:jc w:val="center"/>
              </w:trPr>
              <w:tc>
                <w:tcPr>
                  <w:tcW w:w="941"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541CC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公</w:t>
                  </w:r>
                  <w:r>
                    <w:rPr>
                      <w:rFonts w:hint="eastAsia" w:ascii="宋体" w:hAnsi="宋体" w:eastAsia="宋体" w:cs="宋体"/>
                      <w:color w:val="000000"/>
                      <w:sz w:val="18"/>
                      <w:szCs w:val="18"/>
                      <w:lang w:bidi="ar"/>
                    </w:rPr>
                    <w:br w:type="textWrapping"/>
                  </w:r>
                  <w:r>
                    <w:rPr>
                      <w:rFonts w:hint="eastAsia" w:ascii="宋体" w:hAnsi="宋体" w:eastAsia="宋体" w:cs="宋体"/>
                      <w:color w:val="000000"/>
                      <w:sz w:val="18"/>
                      <w:szCs w:val="18"/>
                      <w:lang w:bidi="ar"/>
                    </w:rPr>
                    <w:t>共</w:t>
                  </w:r>
                  <w:r>
                    <w:rPr>
                      <w:rFonts w:hint="eastAsia" w:ascii="宋体" w:hAnsi="宋体" w:eastAsia="宋体" w:cs="宋体"/>
                      <w:color w:val="000000"/>
                      <w:sz w:val="18"/>
                      <w:szCs w:val="18"/>
                      <w:lang w:bidi="ar"/>
                    </w:rPr>
                    <w:br w:type="textWrapping"/>
                  </w:r>
                  <w:r>
                    <w:rPr>
                      <w:rFonts w:hint="eastAsia" w:ascii="宋体" w:hAnsi="宋体" w:eastAsia="宋体" w:cs="宋体"/>
                      <w:color w:val="000000"/>
                      <w:sz w:val="18"/>
                      <w:szCs w:val="18"/>
                      <w:lang w:bidi="ar"/>
                    </w:rPr>
                    <w:t>基</w:t>
                  </w:r>
                  <w:r>
                    <w:rPr>
                      <w:rFonts w:hint="eastAsia" w:ascii="宋体" w:hAnsi="宋体" w:eastAsia="宋体" w:cs="宋体"/>
                      <w:color w:val="000000"/>
                      <w:sz w:val="18"/>
                      <w:szCs w:val="18"/>
                      <w:lang w:bidi="ar"/>
                    </w:rPr>
                    <w:br w:type="textWrapping"/>
                  </w:r>
                  <w:r>
                    <w:rPr>
                      <w:rFonts w:hint="eastAsia" w:ascii="宋体" w:hAnsi="宋体" w:eastAsia="宋体" w:cs="宋体"/>
                      <w:color w:val="000000"/>
                      <w:sz w:val="18"/>
                      <w:szCs w:val="18"/>
                      <w:lang w:bidi="ar"/>
                    </w:rPr>
                    <w:t>础</w:t>
                  </w:r>
                  <w:r>
                    <w:rPr>
                      <w:rFonts w:hint="eastAsia" w:ascii="宋体" w:hAnsi="宋体" w:eastAsia="宋体" w:cs="宋体"/>
                      <w:color w:val="000000"/>
                      <w:sz w:val="18"/>
                      <w:szCs w:val="18"/>
                      <w:lang w:bidi="ar"/>
                    </w:rPr>
                    <w:br w:type="textWrapping"/>
                  </w:r>
                  <w:r>
                    <w:rPr>
                      <w:rFonts w:hint="eastAsia" w:ascii="宋体" w:hAnsi="宋体" w:eastAsia="宋体" w:cs="宋体"/>
                      <w:color w:val="000000"/>
                      <w:sz w:val="18"/>
                      <w:szCs w:val="18"/>
                      <w:lang w:bidi="ar"/>
                    </w:rPr>
                    <w:t>课</w:t>
                  </w:r>
                </w:p>
              </w:tc>
              <w:tc>
                <w:tcPr>
                  <w:tcW w:w="521" w:type="dxa"/>
                  <w:tcBorders>
                    <w:top w:val="nil"/>
                    <w:left w:val="single" w:color="000000" w:sz="4" w:space="0"/>
                    <w:bottom w:val="single" w:color="000000" w:sz="4" w:space="0"/>
                    <w:right w:val="single" w:color="000000" w:sz="4" w:space="0"/>
                  </w:tcBorders>
                  <w:shd w:val="clear" w:color="auto" w:fill="auto"/>
                  <w:vAlign w:val="center"/>
                </w:tcPr>
                <w:p w14:paraId="66E1B29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CF902">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中国特色社会主义</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9BDB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0A07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83CB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ED3C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F978B">
                  <w:pPr>
                    <w:jc w:val="center"/>
                    <w:rPr>
                      <w:rFonts w:ascii="宋体" w:hAnsi="宋体" w:eastAsia="宋体" w:cs="宋体"/>
                      <w:color w:val="000000"/>
                      <w:sz w:val="18"/>
                      <w:szCs w:val="18"/>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57AF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A92BF">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7465">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9F35A">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9810F">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91396">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133FE">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44A3A">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05A53">
                  <w:pPr>
                    <w:jc w:val="center"/>
                    <w:rPr>
                      <w:rFonts w:ascii="宋体" w:hAnsi="宋体" w:eastAsia="宋体" w:cs="宋体"/>
                      <w:color w:val="000000"/>
                      <w:sz w:val="18"/>
                      <w:szCs w:val="18"/>
                    </w:rPr>
                  </w:pPr>
                </w:p>
              </w:tc>
              <w:tc>
                <w:tcPr>
                  <w:tcW w:w="613" w:type="dxa"/>
                  <w:gridSpan w:val="2"/>
                  <w:tcBorders>
                    <w:top w:val="single" w:color="000000" w:sz="4" w:space="0"/>
                    <w:left w:val="single" w:color="000000" w:sz="4" w:space="0"/>
                    <w:bottom w:val="nil"/>
                    <w:right w:val="single" w:color="000000" w:sz="4" w:space="0"/>
                  </w:tcBorders>
                  <w:shd w:val="clear" w:color="auto" w:fill="auto"/>
                  <w:vAlign w:val="center"/>
                </w:tcPr>
                <w:p w14:paraId="1AF6186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岗位实习</w:t>
                  </w: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27FE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2B1DD">
                  <w:pPr>
                    <w:jc w:val="center"/>
                    <w:rPr>
                      <w:rFonts w:ascii="宋体" w:hAnsi="宋体" w:eastAsia="宋体" w:cs="宋体"/>
                      <w:color w:val="000000"/>
                      <w:sz w:val="18"/>
                      <w:szCs w:val="18"/>
                    </w:rPr>
                  </w:pPr>
                </w:p>
              </w:tc>
            </w:tr>
            <w:tr w14:paraId="0CE040A3">
              <w:tblPrEx>
                <w:tblCellMar>
                  <w:top w:w="0" w:type="dxa"/>
                  <w:left w:w="108" w:type="dxa"/>
                  <w:bottom w:w="0" w:type="dxa"/>
                  <w:right w:w="108" w:type="dxa"/>
                </w:tblCellMar>
              </w:tblPrEx>
              <w:trPr>
                <w:trHeight w:val="432"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913EA">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6C2DD4B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57E97">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心理健康与职业生涯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63D1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2C48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AE7E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E855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E5C4F">
                  <w:pPr>
                    <w:jc w:val="center"/>
                    <w:rPr>
                      <w:rFonts w:ascii="宋体" w:hAnsi="宋体" w:eastAsia="宋体" w:cs="宋体"/>
                      <w:color w:val="000000"/>
                      <w:sz w:val="18"/>
                      <w:szCs w:val="18"/>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0649">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5F23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9FDB3">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68E13">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544C5">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C198E">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D03D9">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97C90">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C8D42">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56B3FADC">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BBA9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2FA11">
                  <w:pPr>
                    <w:jc w:val="center"/>
                    <w:rPr>
                      <w:rFonts w:ascii="宋体" w:hAnsi="宋体" w:eastAsia="宋体" w:cs="宋体"/>
                      <w:color w:val="000000"/>
                      <w:sz w:val="18"/>
                      <w:szCs w:val="18"/>
                    </w:rPr>
                  </w:pPr>
                </w:p>
              </w:tc>
            </w:tr>
            <w:tr w14:paraId="5935D5EB">
              <w:tblPrEx>
                <w:tblCellMar>
                  <w:top w:w="0" w:type="dxa"/>
                  <w:left w:w="108" w:type="dxa"/>
                  <w:bottom w:w="0" w:type="dxa"/>
                  <w:right w:w="108" w:type="dxa"/>
                </w:tblCellMar>
              </w:tblPrEx>
              <w:trPr>
                <w:trHeight w:val="276"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C5441">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63D90D7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57B00">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哲学与人生</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C656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ACEF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2126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8AFE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099B1">
                  <w:pPr>
                    <w:jc w:val="center"/>
                    <w:rPr>
                      <w:rFonts w:ascii="宋体" w:hAnsi="宋体" w:eastAsia="宋体" w:cs="宋体"/>
                      <w:color w:val="000000"/>
                      <w:sz w:val="18"/>
                      <w:szCs w:val="18"/>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4E974">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CCBED">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8133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545AD">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EAF86">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091EF">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B37BF">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65D87">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EADED">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7C434B8A">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5E34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D9F52">
                  <w:pPr>
                    <w:jc w:val="center"/>
                    <w:rPr>
                      <w:rFonts w:ascii="宋体" w:hAnsi="宋体" w:eastAsia="宋体" w:cs="宋体"/>
                      <w:color w:val="000000"/>
                      <w:sz w:val="18"/>
                      <w:szCs w:val="18"/>
                    </w:rPr>
                  </w:pPr>
                </w:p>
              </w:tc>
            </w:tr>
            <w:tr w14:paraId="7C784095">
              <w:tblPrEx>
                <w:tblCellMar>
                  <w:top w:w="0" w:type="dxa"/>
                  <w:left w:w="108" w:type="dxa"/>
                  <w:bottom w:w="0" w:type="dxa"/>
                  <w:right w:w="108" w:type="dxa"/>
                </w:tblCellMar>
              </w:tblPrEx>
              <w:trPr>
                <w:trHeight w:val="432"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C7D01">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543440A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1A787">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职业道德与法治</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4CF5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B2383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324A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27EA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2827E">
                  <w:pPr>
                    <w:jc w:val="center"/>
                    <w:rPr>
                      <w:rFonts w:ascii="宋体" w:hAnsi="宋体" w:eastAsia="宋体" w:cs="宋体"/>
                      <w:color w:val="000000"/>
                      <w:sz w:val="18"/>
                      <w:szCs w:val="18"/>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51F47">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D91E0">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22938">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4A4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1050">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5AA94">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D9741">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067E3">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E500B">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2C11BB5F">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DEB4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7CC60">
                  <w:pPr>
                    <w:jc w:val="center"/>
                    <w:rPr>
                      <w:rFonts w:ascii="宋体" w:hAnsi="宋体" w:eastAsia="宋体" w:cs="宋体"/>
                      <w:color w:val="000000"/>
                      <w:sz w:val="18"/>
                      <w:szCs w:val="18"/>
                    </w:rPr>
                  </w:pPr>
                </w:p>
              </w:tc>
            </w:tr>
            <w:tr w14:paraId="3F617A43">
              <w:tblPrEx>
                <w:tblCellMar>
                  <w:top w:w="0" w:type="dxa"/>
                  <w:left w:w="108" w:type="dxa"/>
                  <w:bottom w:w="0" w:type="dxa"/>
                  <w:right w:w="108" w:type="dxa"/>
                </w:tblCellMar>
              </w:tblPrEx>
              <w:trPr>
                <w:trHeight w:val="276"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529FCC">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78C91EC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E0DE2">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语文</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7786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144</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4124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E845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6CC5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144</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96F23">
                  <w:pPr>
                    <w:jc w:val="center"/>
                    <w:rPr>
                      <w:rFonts w:ascii="宋体" w:hAnsi="宋体" w:eastAsia="宋体" w:cs="宋体"/>
                      <w:color w:val="000000"/>
                      <w:sz w:val="18"/>
                      <w:szCs w:val="18"/>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9433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57DD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94C3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CB84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6A31B">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C33CD">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C1605">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5696C">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A497F">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2292713E">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F24C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2A42F">
                  <w:pPr>
                    <w:jc w:val="center"/>
                    <w:rPr>
                      <w:rFonts w:ascii="宋体" w:hAnsi="宋体" w:eastAsia="宋体" w:cs="宋体"/>
                      <w:color w:val="000000"/>
                      <w:sz w:val="18"/>
                      <w:szCs w:val="18"/>
                    </w:rPr>
                  </w:pPr>
                </w:p>
              </w:tc>
            </w:tr>
            <w:tr w14:paraId="70046291">
              <w:tblPrEx>
                <w:tblCellMar>
                  <w:top w:w="0" w:type="dxa"/>
                  <w:left w:w="108" w:type="dxa"/>
                  <w:bottom w:w="0" w:type="dxa"/>
                  <w:right w:w="108" w:type="dxa"/>
                </w:tblCellMar>
              </w:tblPrEx>
              <w:trPr>
                <w:trHeight w:val="276"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9C385B">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192AB0A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70BD3">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数学</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D506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144</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71F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D79E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9773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144</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681A">
                  <w:pPr>
                    <w:jc w:val="center"/>
                    <w:rPr>
                      <w:rFonts w:ascii="宋体" w:hAnsi="宋体" w:eastAsia="宋体" w:cs="宋体"/>
                      <w:color w:val="000000"/>
                      <w:sz w:val="18"/>
                      <w:szCs w:val="18"/>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96F3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D16B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CE34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8627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B54EFF">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468D7">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6B3F4">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28C28">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79F50">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3677B686">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2133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6F07A">
                  <w:pPr>
                    <w:jc w:val="center"/>
                    <w:rPr>
                      <w:rFonts w:ascii="宋体" w:hAnsi="宋体" w:eastAsia="宋体" w:cs="宋体"/>
                      <w:color w:val="000000"/>
                      <w:sz w:val="18"/>
                      <w:szCs w:val="18"/>
                    </w:rPr>
                  </w:pPr>
                </w:p>
              </w:tc>
            </w:tr>
            <w:tr w14:paraId="5A090546">
              <w:tblPrEx>
                <w:tblCellMar>
                  <w:top w:w="0" w:type="dxa"/>
                  <w:left w:w="108" w:type="dxa"/>
                  <w:bottom w:w="0" w:type="dxa"/>
                  <w:right w:w="108" w:type="dxa"/>
                </w:tblCellMar>
              </w:tblPrEx>
              <w:trPr>
                <w:trHeight w:val="276"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6443E">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69B4EA3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95AC0">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英语</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B68B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144</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E179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AE7A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59A3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144</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9A0FF">
                  <w:pPr>
                    <w:jc w:val="center"/>
                    <w:rPr>
                      <w:rFonts w:ascii="宋体" w:hAnsi="宋体" w:eastAsia="宋体" w:cs="宋体"/>
                      <w:color w:val="000000"/>
                      <w:sz w:val="18"/>
                      <w:szCs w:val="18"/>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223E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79FB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73108">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0DBF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4822D">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2EF90">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D1A6A">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B29B3">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BA606">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5E7D0088">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A3EC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6CB7B">
                  <w:pPr>
                    <w:jc w:val="center"/>
                    <w:rPr>
                      <w:rFonts w:ascii="宋体" w:hAnsi="宋体" w:eastAsia="宋体" w:cs="宋体"/>
                      <w:color w:val="000000"/>
                      <w:sz w:val="18"/>
                      <w:szCs w:val="18"/>
                    </w:rPr>
                  </w:pPr>
                </w:p>
              </w:tc>
            </w:tr>
            <w:tr w14:paraId="14E54EFD">
              <w:tblPrEx>
                <w:tblCellMar>
                  <w:top w:w="0" w:type="dxa"/>
                  <w:left w:w="108" w:type="dxa"/>
                  <w:bottom w:w="0" w:type="dxa"/>
                  <w:right w:w="108" w:type="dxa"/>
                </w:tblCellMar>
              </w:tblPrEx>
              <w:trPr>
                <w:trHeight w:val="276"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C353C">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0032FA5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BAB22">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体育与健康</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1200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144</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68B4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906D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94CB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30</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0D71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114</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750E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7DB2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F3F3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BE9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403F1">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7F5AA">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84EAD">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F2D79">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040A4">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46ACAA92">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8787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1FD0A">
                  <w:pPr>
                    <w:jc w:val="center"/>
                    <w:rPr>
                      <w:rFonts w:ascii="宋体" w:hAnsi="宋体" w:eastAsia="宋体" w:cs="宋体"/>
                      <w:color w:val="000000"/>
                      <w:sz w:val="18"/>
                      <w:szCs w:val="18"/>
                    </w:rPr>
                  </w:pPr>
                </w:p>
              </w:tc>
            </w:tr>
            <w:tr w14:paraId="35BF0F2D">
              <w:tblPrEx>
                <w:tblCellMar>
                  <w:top w:w="0" w:type="dxa"/>
                  <w:left w:w="108" w:type="dxa"/>
                  <w:bottom w:w="0" w:type="dxa"/>
                  <w:right w:w="108" w:type="dxa"/>
                </w:tblCellMar>
              </w:tblPrEx>
              <w:trPr>
                <w:trHeight w:val="276"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3F82F">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6524E65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9</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6359B">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信息技术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3618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144</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0AF2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BB5A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546C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9EC9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6D0B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3127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57D7">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17DF7">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A42AC">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CA771">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03D57">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E21A5">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DBEA4">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75F74B41">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EE6DD">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B83E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287E1215">
              <w:tblPrEx>
                <w:tblCellMar>
                  <w:top w:w="0" w:type="dxa"/>
                  <w:left w:w="108" w:type="dxa"/>
                  <w:bottom w:w="0" w:type="dxa"/>
                  <w:right w:w="108" w:type="dxa"/>
                </w:tblCellMar>
              </w:tblPrEx>
              <w:trPr>
                <w:trHeight w:val="276"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61347">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4D0E742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A71E7">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历史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0892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B708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86AB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DF5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C61DA">
                  <w:pPr>
                    <w:jc w:val="center"/>
                    <w:rPr>
                      <w:rFonts w:ascii="宋体" w:hAnsi="宋体" w:eastAsia="宋体" w:cs="宋体"/>
                      <w:color w:val="000000"/>
                      <w:sz w:val="18"/>
                      <w:szCs w:val="18"/>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2C01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FE84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FC9C8">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CE895">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35753">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9D1AA">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D1750">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42683">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65040">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6F9166DD">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40E4B">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51D3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2C3E678C">
              <w:tblPrEx>
                <w:tblCellMar>
                  <w:top w:w="0" w:type="dxa"/>
                  <w:left w:w="108" w:type="dxa"/>
                  <w:bottom w:w="0" w:type="dxa"/>
                  <w:right w:w="108" w:type="dxa"/>
                </w:tblCellMar>
              </w:tblPrEx>
              <w:trPr>
                <w:trHeight w:val="276"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88055">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1AAFE20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F9D6E">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物理</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7723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52EA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B768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E792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98BEE">
                  <w:pPr>
                    <w:jc w:val="center"/>
                    <w:rPr>
                      <w:rFonts w:ascii="宋体" w:hAnsi="宋体" w:eastAsia="宋体" w:cs="宋体"/>
                      <w:color w:val="000000"/>
                      <w:sz w:val="18"/>
                      <w:szCs w:val="18"/>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A08FE">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7E8D2">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B6D05">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24384">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4EB9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F6C2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5F682">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E8BE1">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9087C">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72075D67">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728E3">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858AC">
                  <w:pPr>
                    <w:jc w:val="center"/>
                    <w:rPr>
                      <w:rFonts w:ascii="宋体" w:hAnsi="宋体" w:eastAsia="宋体" w:cs="宋体"/>
                      <w:color w:val="000000"/>
                      <w:sz w:val="18"/>
                      <w:szCs w:val="18"/>
                    </w:rPr>
                  </w:pPr>
                </w:p>
              </w:tc>
            </w:tr>
            <w:tr w14:paraId="47B94DD5">
              <w:tblPrEx>
                <w:tblCellMar>
                  <w:top w:w="0" w:type="dxa"/>
                  <w:left w:w="108" w:type="dxa"/>
                  <w:bottom w:w="0" w:type="dxa"/>
                  <w:right w:w="108" w:type="dxa"/>
                </w:tblCellMar>
              </w:tblPrEx>
              <w:trPr>
                <w:trHeight w:val="276"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172E03">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214D263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12</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0195F">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艺术</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A21F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69D8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6543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93B02">
                  <w:pPr>
                    <w:jc w:val="center"/>
                    <w:rPr>
                      <w:rFonts w:ascii="宋体" w:hAnsi="宋体" w:eastAsia="宋体" w:cs="宋体"/>
                      <w:color w:val="000000"/>
                      <w:sz w:val="18"/>
                      <w:szCs w:val="18"/>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9C00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842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05079">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BE656">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02371">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C9AB8">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4835">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6D80B">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1B0014">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ED030">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52E5A1DF">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B915">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C490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6BA8FFC3">
              <w:tblPrEx>
                <w:tblCellMar>
                  <w:top w:w="0" w:type="dxa"/>
                  <w:left w:w="108" w:type="dxa"/>
                  <w:bottom w:w="0" w:type="dxa"/>
                  <w:right w:w="108" w:type="dxa"/>
                </w:tblCellMar>
              </w:tblPrEx>
              <w:trPr>
                <w:trHeight w:val="648"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BAD23">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2E5DD98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13</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DEFC5">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国家安全教育及劳动教育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4447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3524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8982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2F880">
                  <w:pPr>
                    <w:jc w:val="center"/>
                    <w:rPr>
                      <w:rFonts w:ascii="宋体" w:hAnsi="宋体" w:eastAsia="宋体" w:cs="宋体"/>
                      <w:color w:val="000000"/>
                      <w:sz w:val="18"/>
                      <w:szCs w:val="18"/>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40D88">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7FBB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1599F">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83268">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28D2E">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F0FE6">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1E3DE">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F720B">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70B41">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78ECF">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3A6E7F01">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B211B">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1D73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0E9346C6">
              <w:tblPrEx>
                <w:tblCellMar>
                  <w:top w:w="0" w:type="dxa"/>
                  <w:left w:w="108" w:type="dxa"/>
                  <w:bottom w:w="0" w:type="dxa"/>
                  <w:right w:w="108" w:type="dxa"/>
                </w:tblCellMar>
              </w:tblPrEx>
              <w:trPr>
                <w:trHeight w:val="432"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8C5F0">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477E69D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E6AC4">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中华优秀传统文化</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2B3F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032D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A5C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707D5">
                  <w:pPr>
                    <w:jc w:val="center"/>
                    <w:rPr>
                      <w:rFonts w:ascii="宋体" w:hAnsi="宋体" w:eastAsia="宋体" w:cs="宋体"/>
                      <w:color w:val="000000"/>
                      <w:sz w:val="18"/>
                      <w:szCs w:val="18"/>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43AF0">
                  <w:pPr>
                    <w:jc w:val="center"/>
                    <w:rPr>
                      <w:rFonts w:ascii="宋体" w:hAnsi="宋体" w:eastAsia="宋体" w:cs="宋体"/>
                      <w:color w:val="000000"/>
                      <w:sz w:val="18"/>
                      <w:szCs w:val="18"/>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5EABE">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B67E5">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D931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167A0">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11F6B">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F31DA">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833D6">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98910">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BE900">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36B69C10">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DDD6B">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40FE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24CA96CE">
              <w:tblPrEx>
                <w:tblCellMar>
                  <w:top w:w="0" w:type="dxa"/>
                  <w:left w:w="108" w:type="dxa"/>
                  <w:bottom w:w="0" w:type="dxa"/>
                  <w:right w:w="108" w:type="dxa"/>
                </w:tblCellMar>
              </w:tblPrEx>
              <w:trPr>
                <w:trHeight w:val="432"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0EC756">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29020AE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15</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A1A63">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就业与创业指导</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31E3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AB3B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D52D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0CAE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4682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CFD34">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AADF2">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018FF">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BC0A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BCF71">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20209">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4E0E5">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491ED">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EF7AE">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1880AC19">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7056A">
                  <w:pPr>
                    <w:rPr>
                      <w:rFonts w:ascii="等线" w:hAnsi="等线" w:eastAsia="等线" w:cs="等线"/>
                      <w:color w:val="000000"/>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76E2C">
                  <w:pPr>
                    <w:jc w:val="center"/>
                    <w:textAlignment w:val="center"/>
                    <w:rPr>
                      <w:rFonts w:ascii="等线" w:hAnsi="等线" w:eastAsia="等线" w:cs="等线"/>
                      <w:color w:val="000000"/>
                    </w:rPr>
                  </w:pPr>
                  <w:r>
                    <w:rPr>
                      <w:rFonts w:hint="eastAsia" w:ascii="等线" w:hAnsi="等线" w:eastAsia="等线" w:cs="等线"/>
                      <w:color w:val="000000"/>
                      <w:lang w:bidi="ar"/>
                    </w:rPr>
                    <w:t>√</w:t>
                  </w:r>
                </w:p>
              </w:tc>
            </w:tr>
            <w:tr w14:paraId="31823DD6">
              <w:tblPrEx>
                <w:tblCellMar>
                  <w:top w:w="0" w:type="dxa"/>
                  <w:left w:w="108" w:type="dxa"/>
                  <w:bottom w:w="0" w:type="dxa"/>
                  <w:right w:w="108" w:type="dxa"/>
                </w:tblCellMar>
              </w:tblPrEx>
              <w:trPr>
                <w:trHeight w:val="432"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082A64">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534EF1B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16</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C5DA4">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思想道德与法治</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113B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54</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E946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0C28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2D5C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40</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1453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8E862">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7C12E">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AE9CA">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7A953">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79ECE">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33E1">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71FE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06AC4">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CA65C">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53270A5C">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C55DB1">
                  <w:pPr>
                    <w:jc w:val="center"/>
                    <w:textAlignment w:val="center"/>
                    <w:rPr>
                      <w:rFonts w:ascii="等线" w:hAnsi="等线" w:eastAsia="等线" w:cs="等线"/>
                      <w:color w:val="000000"/>
                    </w:rPr>
                  </w:pPr>
                  <w:r>
                    <w:rPr>
                      <w:rFonts w:hint="eastAsia" w:ascii="等线" w:hAnsi="等线" w:eastAsia="等线" w:cs="等线"/>
                      <w:color w:val="000000"/>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802D9">
                  <w:pPr>
                    <w:jc w:val="center"/>
                    <w:rPr>
                      <w:rFonts w:ascii="等线" w:hAnsi="等线" w:eastAsia="等线" w:cs="等线"/>
                      <w:color w:val="000000"/>
                    </w:rPr>
                  </w:pPr>
                </w:p>
              </w:tc>
            </w:tr>
            <w:tr w14:paraId="1070D7B3">
              <w:tblPrEx>
                <w:tblCellMar>
                  <w:top w:w="0" w:type="dxa"/>
                  <w:left w:w="108" w:type="dxa"/>
                  <w:bottom w:w="0" w:type="dxa"/>
                  <w:right w:w="108" w:type="dxa"/>
                </w:tblCellMar>
              </w:tblPrEx>
              <w:trPr>
                <w:trHeight w:val="864"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B1015">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2DF4F19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17</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3E593">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毛泽东思想和中国特色社会主义理论体系概论</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AFE1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268F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260F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EC04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2D70E">
                  <w:pPr>
                    <w:jc w:val="center"/>
                    <w:rPr>
                      <w:rFonts w:ascii="宋体" w:hAnsi="宋体" w:eastAsia="宋体" w:cs="宋体"/>
                      <w:color w:val="000000"/>
                      <w:sz w:val="18"/>
                      <w:szCs w:val="18"/>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11291">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246C0">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11A2E">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615E1">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210EF">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08382">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1E52C">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1A5C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06549">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4B7A4D47">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379A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DF159">
                  <w:pPr>
                    <w:jc w:val="center"/>
                    <w:rPr>
                      <w:rFonts w:ascii="宋体" w:hAnsi="宋体" w:eastAsia="宋体" w:cs="宋体"/>
                      <w:color w:val="000000"/>
                      <w:sz w:val="18"/>
                      <w:szCs w:val="18"/>
                    </w:rPr>
                  </w:pPr>
                </w:p>
              </w:tc>
            </w:tr>
            <w:tr w14:paraId="4ED8C87B">
              <w:tblPrEx>
                <w:tblCellMar>
                  <w:top w:w="0" w:type="dxa"/>
                  <w:left w:w="108" w:type="dxa"/>
                  <w:bottom w:w="0" w:type="dxa"/>
                  <w:right w:w="108" w:type="dxa"/>
                </w:tblCellMar>
              </w:tblPrEx>
              <w:trPr>
                <w:trHeight w:val="864"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0FA4F3">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7737DD9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C9F21">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习近平新时代中国特色社会主义思想</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1948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BA2D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3A52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434E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DF999">
                  <w:pPr>
                    <w:jc w:val="center"/>
                    <w:rPr>
                      <w:rFonts w:ascii="宋体" w:hAnsi="宋体" w:eastAsia="宋体" w:cs="宋体"/>
                      <w:color w:val="000000"/>
                      <w:sz w:val="18"/>
                      <w:szCs w:val="18"/>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D5C90">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4F56D">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82CD7">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D1091">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16A0F">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A40E">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8886D">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6812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6BBC5">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669E4A48">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4A49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A248C">
                  <w:pPr>
                    <w:jc w:val="center"/>
                    <w:rPr>
                      <w:rFonts w:ascii="宋体" w:hAnsi="宋体" w:eastAsia="宋体" w:cs="宋体"/>
                      <w:color w:val="000000"/>
                      <w:sz w:val="18"/>
                      <w:szCs w:val="18"/>
                    </w:rPr>
                  </w:pPr>
                </w:p>
              </w:tc>
            </w:tr>
            <w:tr w14:paraId="51B3502A">
              <w:tblPrEx>
                <w:tblCellMar>
                  <w:top w:w="0" w:type="dxa"/>
                  <w:left w:w="108" w:type="dxa"/>
                  <w:bottom w:w="0" w:type="dxa"/>
                  <w:right w:w="108" w:type="dxa"/>
                </w:tblCellMar>
              </w:tblPrEx>
              <w:trPr>
                <w:trHeight w:val="432"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8FE44F">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44368B6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19</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FE7FA">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形势与政策</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36D0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3ADEF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97F40">
                  <w:pPr>
                    <w:jc w:val="center"/>
                    <w:rPr>
                      <w:rFonts w:ascii="宋体" w:hAnsi="宋体" w:eastAsia="宋体" w:cs="宋体"/>
                      <w:color w:val="000000"/>
                      <w:sz w:val="18"/>
                      <w:szCs w:val="18"/>
                    </w:rPr>
                  </w:pP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3B74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C0B5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B166B">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7C13E">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D2E1C">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E9FB2">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139FF">
                  <w:pP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AA64E">
                  <w:pPr>
                    <w:rPr>
                      <w:rFonts w:ascii="宋体" w:hAnsi="宋体" w:eastAsia="宋体" w:cs="宋体"/>
                      <w:color w:val="000000"/>
                      <w:sz w:val="18"/>
                      <w:szCs w:val="18"/>
                    </w:rPr>
                  </w:pPr>
                </w:p>
              </w:tc>
              <w:tc>
                <w:tcPr>
                  <w:tcW w:w="586" w:type="dxa"/>
                  <w:tcBorders>
                    <w:top w:val="single" w:color="000000" w:sz="4" w:space="0"/>
                    <w:left w:val="nil"/>
                    <w:bottom w:val="single" w:color="000000" w:sz="4" w:space="0"/>
                    <w:right w:val="nil"/>
                  </w:tcBorders>
                  <w:shd w:val="clear" w:color="auto" w:fill="auto"/>
                  <w:vAlign w:val="center"/>
                </w:tcPr>
                <w:p w14:paraId="60BAE0C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一学期8节</w:t>
                  </w:r>
                </w:p>
              </w:tc>
              <w:tc>
                <w:tcPr>
                  <w:tcW w:w="665" w:type="dxa"/>
                  <w:tcBorders>
                    <w:top w:val="single" w:color="000000" w:sz="4" w:space="0"/>
                    <w:left w:val="nil"/>
                    <w:bottom w:val="single" w:color="000000" w:sz="4" w:space="0"/>
                    <w:right w:val="nil"/>
                  </w:tcBorders>
                  <w:shd w:val="clear" w:color="auto" w:fill="auto"/>
                  <w:vAlign w:val="center"/>
                </w:tcPr>
                <w:p w14:paraId="7C4E9925">
                  <w:pPr>
                    <w:jc w:val="center"/>
                    <w:rPr>
                      <w:rFonts w:ascii="宋体" w:hAnsi="宋体" w:eastAsia="宋体" w:cs="宋体"/>
                      <w:color w:val="000000"/>
                      <w:sz w:val="18"/>
                      <w:szCs w:val="18"/>
                    </w:rPr>
                  </w:pPr>
                </w:p>
              </w:tc>
              <w:tc>
                <w:tcPr>
                  <w:tcW w:w="480" w:type="dxa"/>
                  <w:tcBorders>
                    <w:top w:val="single" w:color="000000" w:sz="4" w:space="0"/>
                    <w:left w:val="nil"/>
                    <w:bottom w:val="single" w:color="000000" w:sz="4" w:space="0"/>
                    <w:right w:val="single" w:color="000000" w:sz="4" w:space="0"/>
                  </w:tcBorders>
                  <w:shd w:val="clear" w:color="auto" w:fill="auto"/>
                  <w:vAlign w:val="center"/>
                </w:tcPr>
                <w:p w14:paraId="6E5612A1">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7715A3CB">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9A5F3">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010D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3956D208">
              <w:tblPrEx>
                <w:tblCellMar>
                  <w:top w:w="0" w:type="dxa"/>
                  <w:left w:w="108" w:type="dxa"/>
                  <w:bottom w:w="0" w:type="dxa"/>
                  <w:right w:w="108" w:type="dxa"/>
                </w:tblCellMar>
              </w:tblPrEx>
              <w:trPr>
                <w:trHeight w:val="432"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73459">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00402A0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20</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A07E5">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军事理论</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DA78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F8A0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00989">
                  <w:pPr>
                    <w:jc w:val="center"/>
                    <w:rPr>
                      <w:rFonts w:ascii="宋体" w:hAnsi="宋体" w:eastAsia="宋体" w:cs="宋体"/>
                      <w:color w:val="000000"/>
                      <w:sz w:val="18"/>
                      <w:szCs w:val="18"/>
                    </w:rPr>
                  </w:pP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AAD6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C1494">
                  <w:pPr>
                    <w:jc w:val="center"/>
                    <w:rPr>
                      <w:rFonts w:ascii="宋体" w:hAnsi="宋体" w:eastAsia="宋体" w:cs="宋体"/>
                      <w:color w:val="000000"/>
                      <w:sz w:val="18"/>
                      <w:szCs w:val="18"/>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E2D68">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0DF1A">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BA6A2">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48BEA">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85B8A">
                  <w:pPr>
                    <w:rPr>
                      <w:rFonts w:ascii="等线" w:hAnsi="等线" w:eastAsia="等线" w:cs="等线"/>
                      <w:color w:val="000000"/>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C7435">
                  <w:pPr>
                    <w:rPr>
                      <w:rFonts w:ascii="等线" w:hAnsi="等线" w:eastAsia="等线" w:cs="等线"/>
                      <w:color w:val="000000"/>
                    </w:rPr>
                  </w:pPr>
                </w:p>
              </w:tc>
              <w:tc>
                <w:tcPr>
                  <w:tcW w:w="586" w:type="dxa"/>
                  <w:tcBorders>
                    <w:top w:val="single" w:color="000000" w:sz="4" w:space="0"/>
                    <w:left w:val="single" w:color="000000" w:sz="4" w:space="0"/>
                    <w:bottom w:val="single" w:color="000000" w:sz="4" w:space="0"/>
                    <w:right w:val="nil"/>
                  </w:tcBorders>
                  <w:shd w:val="clear" w:color="auto" w:fill="auto"/>
                  <w:vAlign w:val="center"/>
                </w:tcPr>
                <w:p w14:paraId="7F62DC2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一学期8节</w:t>
                  </w:r>
                </w:p>
              </w:tc>
              <w:tc>
                <w:tcPr>
                  <w:tcW w:w="665" w:type="dxa"/>
                  <w:tcBorders>
                    <w:top w:val="single" w:color="000000" w:sz="4" w:space="0"/>
                    <w:left w:val="nil"/>
                    <w:bottom w:val="single" w:color="000000" w:sz="4" w:space="0"/>
                    <w:right w:val="nil"/>
                  </w:tcBorders>
                  <w:shd w:val="clear" w:color="auto" w:fill="auto"/>
                  <w:vAlign w:val="center"/>
                </w:tcPr>
                <w:p w14:paraId="0EA3FE1D">
                  <w:pPr>
                    <w:jc w:val="center"/>
                    <w:rPr>
                      <w:rFonts w:ascii="宋体" w:hAnsi="宋体" w:eastAsia="宋体" w:cs="宋体"/>
                      <w:color w:val="000000"/>
                      <w:sz w:val="18"/>
                      <w:szCs w:val="18"/>
                    </w:rPr>
                  </w:pPr>
                </w:p>
              </w:tc>
              <w:tc>
                <w:tcPr>
                  <w:tcW w:w="480" w:type="dxa"/>
                  <w:tcBorders>
                    <w:top w:val="single" w:color="000000" w:sz="4" w:space="0"/>
                    <w:left w:val="nil"/>
                    <w:bottom w:val="single" w:color="000000" w:sz="4" w:space="0"/>
                    <w:right w:val="nil"/>
                  </w:tcBorders>
                  <w:shd w:val="clear" w:color="auto" w:fill="auto"/>
                  <w:vAlign w:val="center"/>
                </w:tcPr>
                <w:p w14:paraId="44585874">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0C4643A5">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DBAD3">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51F1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2A89E5FB">
              <w:tblPrEx>
                <w:tblCellMar>
                  <w:top w:w="0" w:type="dxa"/>
                  <w:left w:w="108" w:type="dxa"/>
                  <w:bottom w:w="0" w:type="dxa"/>
                  <w:right w:w="108" w:type="dxa"/>
                </w:tblCellMar>
              </w:tblPrEx>
              <w:trPr>
                <w:trHeight w:val="276"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C44F7A">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5029DB9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21</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A8C71">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大学体育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AC1A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108</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45EE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A0DC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F4BC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20</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C06B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B3F87">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0E0BB">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A32BC">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9371B">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3D45B">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6A730">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8A72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0ED9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787B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613" w:type="dxa"/>
                  <w:gridSpan w:val="2"/>
                  <w:tcBorders>
                    <w:top w:val="nil"/>
                    <w:left w:val="single" w:color="000000" w:sz="4" w:space="0"/>
                    <w:bottom w:val="nil"/>
                    <w:right w:val="single" w:color="000000" w:sz="4" w:space="0"/>
                  </w:tcBorders>
                  <w:shd w:val="clear" w:color="auto" w:fill="auto"/>
                  <w:vAlign w:val="center"/>
                </w:tcPr>
                <w:p w14:paraId="5B4DFA07">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DBF20">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A0DA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034F169D">
              <w:tblPrEx>
                <w:tblCellMar>
                  <w:top w:w="0" w:type="dxa"/>
                  <w:left w:w="108" w:type="dxa"/>
                  <w:bottom w:w="0" w:type="dxa"/>
                  <w:right w:w="108" w:type="dxa"/>
                </w:tblCellMar>
              </w:tblPrEx>
              <w:trPr>
                <w:trHeight w:val="432"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4897C4">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06F2FBE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22</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72550">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心理健康教育（高职）</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F37B8">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9568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933D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76F5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63B96">
                  <w:pPr>
                    <w:jc w:val="center"/>
                    <w:rPr>
                      <w:rFonts w:ascii="宋体" w:hAnsi="宋体" w:eastAsia="宋体" w:cs="宋体"/>
                      <w:color w:val="000000"/>
                      <w:sz w:val="18"/>
                      <w:szCs w:val="18"/>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8B612">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D9C72">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774F7">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F005E">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E11C7">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CF441">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35036">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8DEF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F72AC">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6B5EE407">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ED7E8">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DA06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0241C611">
              <w:tblPrEx>
                <w:tblCellMar>
                  <w:top w:w="0" w:type="dxa"/>
                  <w:left w:w="108" w:type="dxa"/>
                  <w:bottom w:w="0" w:type="dxa"/>
                  <w:right w:w="108" w:type="dxa"/>
                </w:tblCellMar>
              </w:tblPrEx>
              <w:trPr>
                <w:trHeight w:val="276"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3494C">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40BFAE4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23</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E613C">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劳动教育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F7D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5B48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C41D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6ACE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4AF1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0D67D5">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540D9">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5C961">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B7485">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1C38B">
                  <w:pPr>
                    <w:rPr>
                      <w:rFonts w:ascii="等线" w:hAnsi="等线" w:eastAsia="等线" w:cs="等线"/>
                      <w:color w:val="000000"/>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7924B">
                  <w:pPr>
                    <w:rPr>
                      <w:rFonts w:ascii="等线" w:hAnsi="等线" w:eastAsia="等线" w:cs="等线"/>
                      <w:color w:val="000000"/>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44F8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C4A8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5193B">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2925B8A3">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914A4">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99FB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1DDBC630">
              <w:tblPrEx>
                <w:tblCellMar>
                  <w:top w:w="0" w:type="dxa"/>
                  <w:left w:w="108" w:type="dxa"/>
                  <w:bottom w:w="0" w:type="dxa"/>
                  <w:right w:w="108" w:type="dxa"/>
                </w:tblCellMar>
              </w:tblPrEx>
              <w:trPr>
                <w:trHeight w:val="276"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83AD7">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43D61A9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24</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693C2">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美育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F33D8">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4D26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90A6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08F0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B93D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3CE4A">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DBA49">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04E5A">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A7F48">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1A38D">
                  <w:pPr>
                    <w:rPr>
                      <w:rFonts w:ascii="等线" w:hAnsi="等线" w:eastAsia="等线" w:cs="等线"/>
                      <w:color w:val="000000"/>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C537A">
                  <w:pPr>
                    <w:rPr>
                      <w:rFonts w:ascii="等线" w:hAnsi="等线" w:eastAsia="等线" w:cs="等线"/>
                      <w:color w:val="000000"/>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CB67C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A26A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A7058">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7304D454">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29E2B">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A90A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046FC526">
              <w:tblPrEx>
                <w:tblCellMar>
                  <w:top w:w="0" w:type="dxa"/>
                  <w:left w:w="108" w:type="dxa"/>
                  <w:bottom w:w="0" w:type="dxa"/>
                  <w:right w:w="108" w:type="dxa"/>
                </w:tblCellMar>
              </w:tblPrEx>
              <w:trPr>
                <w:trHeight w:val="648"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ED46A">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5237AA18">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25</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2E6A">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大学语文（含应用文写作）</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26E3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B791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249C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4C43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7331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ECD8C">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03A72">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EDEF0">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B6784">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F13FB">
                  <w:pPr>
                    <w:rPr>
                      <w:rFonts w:ascii="等线" w:hAnsi="等线" w:eastAsia="等线" w:cs="等线"/>
                      <w:color w:val="000000"/>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E8D01">
                  <w:pPr>
                    <w:rPr>
                      <w:rFonts w:ascii="等线" w:hAnsi="等线" w:eastAsia="等线" w:cs="等线"/>
                      <w:color w:val="000000"/>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42CE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BE6C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104A2">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3AEB985D">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0F5A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C3D7E">
                  <w:pPr>
                    <w:jc w:val="center"/>
                    <w:rPr>
                      <w:rFonts w:ascii="宋体" w:hAnsi="宋体" w:eastAsia="宋体" w:cs="宋体"/>
                      <w:color w:val="000000"/>
                      <w:sz w:val="18"/>
                      <w:szCs w:val="18"/>
                    </w:rPr>
                  </w:pPr>
                </w:p>
              </w:tc>
            </w:tr>
            <w:tr w14:paraId="00995AF1">
              <w:tblPrEx>
                <w:tblCellMar>
                  <w:top w:w="0" w:type="dxa"/>
                  <w:left w:w="108" w:type="dxa"/>
                  <w:bottom w:w="0" w:type="dxa"/>
                  <w:right w:w="108" w:type="dxa"/>
                </w:tblCellMar>
              </w:tblPrEx>
              <w:trPr>
                <w:trHeight w:val="276"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EAE306">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24143B1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26</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AC581">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大学英语</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7C6E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144</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621A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5AAD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6D5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144</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6D40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015D0">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1922C">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18903">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208A3">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2392C">
                  <w:pPr>
                    <w:rPr>
                      <w:rFonts w:ascii="等线" w:hAnsi="等线" w:eastAsia="等线" w:cs="等线"/>
                      <w:color w:val="000000"/>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80C4D">
                  <w:pPr>
                    <w:rPr>
                      <w:rFonts w:ascii="等线" w:hAnsi="等线" w:eastAsia="等线" w:cs="等线"/>
                      <w:color w:val="000000"/>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CAC1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3624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EDF2">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5B811555">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C5578">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78C2D">
                  <w:pPr>
                    <w:jc w:val="center"/>
                    <w:rPr>
                      <w:rFonts w:ascii="宋体" w:hAnsi="宋体" w:eastAsia="宋体" w:cs="宋体"/>
                      <w:color w:val="000000"/>
                      <w:sz w:val="18"/>
                      <w:szCs w:val="18"/>
                    </w:rPr>
                  </w:pPr>
                </w:p>
              </w:tc>
            </w:tr>
            <w:tr w14:paraId="13494FF1">
              <w:tblPrEx>
                <w:tblCellMar>
                  <w:top w:w="0" w:type="dxa"/>
                  <w:left w:w="108" w:type="dxa"/>
                  <w:bottom w:w="0" w:type="dxa"/>
                  <w:right w:w="108" w:type="dxa"/>
                </w:tblCellMar>
              </w:tblPrEx>
              <w:trPr>
                <w:trHeight w:val="432"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4289B3">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11A949B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27</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D7424">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信息技术（高职）</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D60E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108</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C767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9C04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104E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54</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51D5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54</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30770">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1516B">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D47EC">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CD83E">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07C25">
                  <w:pPr>
                    <w:rPr>
                      <w:rFonts w:ascii="等线" w:hAnsi="等线" w:eastAsia="等线" w:cs="等线"/>
                      <w:color w:val="000000"/>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76511">
                  <w:pPr>
                    <w:rPr>
                      <w:rFonts w:ascii="等线" w:hAnsi="等线" w:eastAsia="等线" w:cs="等线"/>
                      <w:color w:val="000000"/>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D1DE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13A3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3A0F4">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3202A169">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6FAD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288DE">
                  <w:pPr>
                    <w:jc w:val="center"/>
                    <w:rPr>
                      <w:rFonts w:ascii="宋体" w:hAnsi="宋体" w:eastAsia="宋体" w:cs="宋体"/>
                      <w:color w:val="000000"/>
                      <w:sz w:val="18"/>
                      <w:szCs w:val="18"/>
                    </w:rPr>
                  </w:pPr>
                </w:p>
              </w:tc>
            </w:tr>
            <w:tr w14:paraId="6EBF8F26">
              <w:tblPrEx>
                <w:tblCellMar>
                  <w:top w:w="0" w:type="dxa"/>
                  <w:left w:w="108" w:type="dxa"/>
                  <w:bottom w:w="0" w:type="dxa"/>
                  <w:right w:w="108" w:type="dxa"/>
                </w:tblCellMar>
              </w:tblPrEx>
              <w:trPr>
                <w:trHeight w:val="276"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C993B">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72DF649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28</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3E8B9">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高等数学</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3EDA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108</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00D08">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0DA0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9FF2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EAAF3">
                  <w:pPr>
                    <w:jc w:val="center"/>
                    <w:rPr>
                      <w:rFonts w:ascii="宋体" w:hAnsi="宋体" w:eastAsia="宋体" w:cs="宋体"/>
                      <w:color w:val="000000"/>
                      <w:sz w:val="18"/>
                      <w:szCs w:val="18"/>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10B0F">
                  <w:pP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23609">
                  <w:pP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FCD37">
                  <w:pP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07792">
                  <w:pP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7E58C">
                  <w:pPr>
                    <w:rPr>
                      <w:rFonts w:ascii="等线" w:hAnsi="等线" w:eastAsia="等线" w:cs="等线"/>
                      <w:color w:val="000000"/>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DE69B">
                  <w:pPr>
                    <w:rPr>
                      <w:rFonts w:ascii="等线" w:hAnsi="等线" w:eastAsia="等线" w:cs="等线"/>
                      <w:color w:val="000000"/>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48B5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384C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A2BF3">
                  <w:pP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64C4D8B3">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A398B">
                  <w:pP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86A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4AACD5AE">
              <w:tblPrEx>
                <w:tblCellMar>
                  <w:top w:w="0" w:type="dxa"/>
                  <w:left w:w="108" w:type="dxa"/>
                  <w:bottom w:w="0" w:type="dxa"/>
                  <w:right w:w="108" w:type="dxa"/>
                </w:tblCellMar>
              </w:tblPrEx>
              <w:trPr>
                <w:trHeight w:val="648" w:hRule="atLeast"/>
                <w:jc w:val="center"/>
              </w:trPr>
              <w:tc>
                <w:tcPr>
                  <w:tcW w:w="941"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39BB7">
                  <w:pPr>
                    <w:jc w:val="center"/>
                    <w:rPr>
                      <w:rFonts w:ascii="宋体" w:hAnsi="宋体" w:eastAsia="宋体" w:cs="宋体"/>
                      <w:color w:val="000000"/>
                      <w:sz w:val="18"/>
                      <w:szCs w:val="18"/>
                    </w:rPr>
                  </w:pPr>
                </w:p>
              </w:tc>
              <w:tc>
                <w:tcPr>
                  <w:tcW w:w="521" w:type="dxa"/>
                  <w:tcBorders>
                    <w:top w:val="nil"/>
                    <w:left w:val="single" w:color="000000" w:sz="4" w:space="0"/>
                    <w:bottom w:val="single" w:color="000000" w:sz="4" w:space="0"/>
                    <w:right w:val="single" w:color="000000" w:sz="4" w:space="0"/>
                  </w:tcBorders>
                  <w:shd w:val="clear" w:color="auto" w:fill="auto"/>
                  <w:vAlign w:val="center"/>
                </w:tcPr>
                <w:p w14:paraId="47D99F8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29</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92AE0">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职业发展与就业创业指导（高职）</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E956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5D1C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DB5E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84D5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CB89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21735">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0EF18">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15751">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F91F8">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FC53E">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E8F99">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C3A4">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92327">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647F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613" w:type="dxa"/>
                  <w:gridSpan w:val="2"/>
                  <w:tcBorders>
                    <w:top w:val="nil"/>
                    <w:left w:val="single" w:color="000000" w:sz="4" w:space="0"/>
                    <w:bottom w:val="single" w:color="000000" w:sz="4" w:space="0"/>
                    <w:right w:val="single" w:color="000000" w:sz="4" w:space="0"/>
                  </w:tcBorders>
                  <w:shd w:val="clear" w:color="auto" w:fill="auto"/>
                  <w:vAlign w:val="center"/>
                </w:tcPr>
                <w:p w14:paraId="7AF39C6E">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50FA9">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6AF3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6A4F1234">
              <w:tblPrEx>
                <w:tblCellMar>
                  <w:top w:w="0" w:type="dxa"/>
                  <w:left w:w="108" w:type="dxa"/>
                  <w:bottom w:w="0" w:type="dxa"/>
                  <w:right w:w="108" w:type="dxa"/>
                </w:tblCellMar>
              </w:tblPrEx>
              <w:trPr>
                <w:trHeight w:val="276" w:hRule="atLeast"/>
                <w:jc w:val="center"/>
              </w:trPr>
              <w:tc>
                <w:tcPr>
                  <w:tcW w:w="470" w:type="dxa"/>
                  <w:gridSpan w:val="2"/>
                  <w:tcBorders>
                    <w:top w:val="single" w:color="000000" w:sz="4" w:space="0"/>
                    <w:left w:val="single" w:color="000000" w:sz="4" w:space="0"/>
                    <w:bottom w:val="single" w:color="000000" w:sz="4" w:space="0"/>
                    <w:right w:val="single" w:color="000000" w:sz="4" w:space="0"/>
                  </w:tcBorders>
                  <w:shd w:val="clear" w:color="auto" w:fill="D9E1F2"/>
                  <w:vAlign w:val="center"/>
                </w:tcPr>
                <w:p w14:paraId="638E41FC">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小计</w:t>
                  </w:r>
                </w:p>
              </w:tc>
              <w:tc>
                <w:tcPr>
                  <w:tcW w:w="471"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63864F37">
                  <w:pPr>
                    <w:jc w:val="center"/>
                    <w:rPr>
                      <w:rFonts w:ascii="宋体" w:hAnsi="宋体" w:eastAsia="宋体" w:cs="宋体"/>
                      <w:b/>
                      <w:bCs/>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3299D5AF">
                  <w:pPr>
                    <w:jc w:val="center"/>
                    <w:rPr>
                      <w:rFonts w:ascii="宋体" w:hAnsi="宋体" w:eastAsia="宋体" w:cs="宋体"/>
                      <w:b/>
                      <w:bCs/>
                      <w:color w:val="000000"/>
                      <w:sz w:val="18"/>
                      <w:szCs w:val="18"/>
                    </w:rPr>
                  </w:pPr>
                </w:p>
              </w:tc>
              <w:tc>
                <w:tcPr>
                  <w:tcW w:w="2127"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52A77935">
                  <w:pPr>
                    <w:jc w:val="center"/>
                    <w:rPr>
                      <w:rFonts w:ascii="宋体" w:hAnsi="宋体" w:eastAsia="宋体" w:cs="宋体"/>
                      <w:b/>
                      <w:bCs/>
                      <w:color w:val="000000"/>
                      <w:sz w:val="18"/>
                      <w:szCs w:val="18"/>
                    </w:rPr>
                  </w:pPr>
                </w:p>
              </w:tc>
              <w:tc>
                <w:tcPr>
                  <w:tcW w:w="567"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7DE1CFE6">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2016</w:t>
                  </w:r>
                </w:p>
              </w:tc>
              <w:tc>
                <w:tcPr>
                  <w:tcW w:w="477"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5AF1AF1A">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106</w:t>
                  </w:r>
                </w:p>
              </w:tc>
              <w:tc>
                <w:tcPr>
                  <w:tcW w:w="586"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04D75EBA">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58</w:t>
                  </w:r>
                </w:p>
              </w:tc>
              <w:tc>
                <w:tcPr>
                  <w:tcW w:w="573"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5559B6B9">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1494</w:t>
                  </w:r>
                </w:p>
              </w:tc>
              <w:tc>
                <w:tcPr>
                  <w:tcW w:w="653"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6DC3B70A">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450</w:t>
                  </w:r>
                </w:p>
              </w:tc>
              <w:tc>
                <w:tcPr>
                  <w:tcW w:w="653"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0851E0B0">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18</w:t>
                  </w:r>
                </w:p>
              </w:tc>
              <w:tc>
                <w:tcPr>
                  <w:tcW w:w="547"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482582B3">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16</w:t>
                  </w:r>
                </w:p>
              </w:tc>
              <w:tc>
                <w:tcPr>
                  <w:tcW w:w="533"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6213E0CC">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12</w:t>
                  </w:r>
                </w:p>
              </w:tc>
              <w:tc>
                <w:tcPr>
                  <w:tcW w:w="533"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2FA3CECC">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11</w:t>
                  </w:r>
                </w:p>
              </w:tc>
              <w:tc>
                <w:tcPr>
                  <w:tcW w:w="560"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3A413609">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w:t>
                  </w:r>
                </w:p>
              </w:tc>
              <w:tc>
                <w:tcPr>
                  <w:tcW w:w="639"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72C2CD82">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3652F70D">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21</w:t>
                  </w:r>
                </w:p>
              </w:tc>
              <w:tc>
                <w:tcPr>
                  <w:tcW w:w="665"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27DC8D42">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19</w:t>
                  </w:r>
                </w:p>
              </w:tc>
              <w:tc>
                <w:tcPr>
                  <w:tcW w:w="480"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5323E728">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4</w:t>
                  </w:r>
                </w:p>
              </w:tc>
              <w:tc>
                <w:tcPr>
                  <w:tcW w:w="613" w:type="dxa"/>
                  <w:gridSpan w:val="2"/>
                  <w:tcBorders>
                    <w:top w:val="single" w:color="000000" w:sz="4" w:space="0"/>
                    <w:left w:val="single" w:color="000000" w:sz="4" w:space="0"/>
                    <w:bottom w:val="single" w:color="000000" w:sz="4" w:space="0"/>
                    <w:right w:val="single" w:color="000000" w:sz="4" w:space="0"/>
                  </w:tcBorders>
                  <w:shd w:val="clear" w:color="auto" w:fill="D9E1F2"/>
                  <w:vAlign w:val="center"/>
                </w:tcPr>
                <w:p w14:paraId="2367BCA1">
                  <w:pPr>
                    <w:jc w:val="center"/>
                    <w:rPr>
                      <w:rFonts w:ascii="宋体" w:hAnsi="宋体" w:eastAsia="宋体" w:cs="宋体"/>
                      <w:b/>
                      <w:bCs/>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5DBC30D2">
                  <w:pPr>
                    <w:jc w:val="center"/>
                    <w:rPr>
                      <w:rFonts w:ascii="宋体" w:hAnsi="宋体" w:eastAsia="宋体" w:cs="宋体"/>
                      <w:b/>
                      <w:bCs/>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D9E1F2"/>
                  <w:noWrap/>
                  <w:vAlign w:val="center"/>
                </w:tcPr>
                <w:p w14:paraId="17A9DB4F">
                  <w:pPr>
                    <w:rPr>
                      <w:rFonts w:ascii="等线" w:hAnsi="等线" w:eastAsia="等线" w:cs="等线"/>
                      <w:b/>
                      <w:bCs/>
                      <w:color w:val="000000"/>
                    </w:rPr>
                  </w:pPr>
                </w:p>
              </w:tc>
            </w:tr>
            <w:tr w14:paraId="752ADEBF">
              <w:tblPrEx>
                <w:tblCellMar>
                  <w:top w:w="0" w:type="dxa"/>
                  <w:left w:w="108" w:type="dxa"/>
                  <w:bottom w:w="0" w:type="dxa"/>
                  <w:right w:w="108" w:type="dxa"/>
                </w:tblCellMar>
              </w:tblPrEx>
              <w:trPr>
                <w:trHeight w:val="1125" w:hRule="atLeast"/>
                <w:jc w:val="center"/>
              </w:trPr>
              <w:tc>
                <w:tcPr>
                  <w:tcW w:w="47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7A510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专</w:t>
                  </w:r>
                  <w:r>
                    <w:rPr>
                      <w:rFonts w:hint="eastAsia" w:ascii="宋体" w:hAnsi="宋体" w:eastAsia="宋体" w:cs="宋体"/>
                      <w:color w:val="000000"/>
                      <w:sz w:val="18"/>
                      <w:szCs w:val="18"/>
                      <w:lang w:bidi="ar"/>
                    </w:rPr>
                    <w:br w:type="textWrapping"/>
                  </w:r>
                  <w:r>
                    <w:rPr>
                      <w:rFonts w:hint="eastAsia" w:ascii="宋体" w:hAnsi="宋体" w:eastAsia="宋体" w:cs="宋体"/>
                      <w:color w:val="000000"/>
                      <w:sz w:val="18"/>
                      <w:szCs w:val="18"/>
                      <w:lang w:bidi="ar"/>
                    </w:rPr>
                    <w:t>业</w:t>
                  </w:r>
                  <w:r>
                    <w:rPr>
                      <w:rFonts w:hint="eastAsia" w:ascii="宋体" w:hAnsi="宋体" w:eastAsia="宋体" w:cs="宋体"/>
                      <w:color w:val="000000"/>
                      <w:sz w:val="18"/>
                      <w:szCs w:val="18"/>
                      <w:lang w:bidi="ar"/>
                    </w:rPr>
                    <w:br w:type="textWrapping"/>
                  </w:r>
                  <w:r>
                    <w:rPr>
                      <w:rFonts w:hint="eastAsia" w:ascii="宋体" w:hAnsi="宋体" w:eastAsia="宋体" w:cs="宋体"/>
                      <w:color w:val="000000"/>
                      <w:sz w:val="18"/>
                      <w:szCs w:val="18"/>
                      <w:lang w:bidi="ar"/>
                    </w:rPr>
                    <w:t>课</w:t>
                  </w:r>
                  <w:r>
                    <w:rPr>
                      <w:rFonts w:hint="eastAsia" w:ascii="宋体" w:hAnsi="宋体" w:eastAsia="宋体" w:cs="宋体"/>
                      <w:color w:val="000000"/>
                      <w:sz w:val="18"/>
                      <w:szCs w:val="18"/>
                      <w:lang w:bidi="ar"/>
                    </w:rPr>
                    <w:br w:type="textWrapping"/>
                  </w:r>
                  <w:r>
                    <w:rPr>
                      <w:rFonts w:hint="eastAsia" w:ascii="宋体" w:hAnsi="宋体" w:eastAsia="宋体" w:cs="宋体"/>
                      <w:color w:val="000000"/>
                      <w:sz w:val="18"/>
                      <w:szCs w:val="18"/>
                      <w:lang w:bidi="ar"/>
                    </w:rPr>
                    <w:t>程</w:t>
                  </w:r>
                </w:p>
              </w:tc>
              <w:tc>
                <w:tcPr>
                  <w:tcW w:w="47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84126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专</w:t>
                  </w:r>
                  <w:r>
                    <w:rPr>
                      <w:rFonts w:hint="eastAsia" w:ascii="宋体" w:hAnsi="宋体" w:eastAsia="宋体" w:cs="宋体"/>
                      <w:color w:val="000000"/>
                      <w:sz w:val="18"/>
                      <w:szCs w:val="18"/>
                      <w:lang w:bidi="ar"/>
                    </w:rPr>
                    <w:br w:type="textWrapping"/>
                  </w:r>
                  <w:r>
                    <w:rPr>
                      <w:rFonts w:hint="eastAsia" w:ascii="宋体" w:hAnsi="宋体" w:eastAsia="宋体" w:cs="宋体"/>
                      <w:color w:val="000000"/>
                      <w:sz w:val="18"/>
                      <w:szCs w:val="18"/>
                      <w:lang w:bidi="ar"/>
                    </w:rPr>
                    <w:t>业</w:t>
                  </w:r>
                  <w:r>
                    <w:rPr>
                      <w:rFonts w:hint="eastAsia" w:ascii="宋体" w:hAnsi="宋体" w:eastAsia="宋体" w:cs="宋体"/>
                      <w:color w:val="000000"/>
                      <w:sz w:val="18"/>
                      <w:szCs w:val="18"/>
                      <w:lang w:bidi="ar"/>
                    </w:rPr>
                    <w:br w:type="textWrapping"/>
                  </w:r>
                  <w:r>
                    <w:rPr>
                      <w:rFonts w:hint="eastAsia" w:ascii="宋体" w:hAnsi="宋体" w:eastAsia="宋体" w:cs="宋体"/>
                      <w:color w:val="000000"/>
                      <w:sz w:val="18"/>
                      <w:szCs w:val="18"/>
                      <w:lang w:bidi="ar"/>
                    </w:rPr>
                    <w:t>基</w:t>
                  </w:r>
                  <w:r>
                    <w:rPr>
                      <w:rFonts w:hint="eastAsia" w:ascii="宋体" w:hAnsi="宋体" w:eastAsia="宋体" w:cs="宋体"/>
                      <w:color w:val="000000"/>
                      <w:sz w:val="18"/>
                      <w:szCs w:val="18"/>
                      <w:lang w:bidi="ar"/>
                    </w:rPr>
                    <w:br w:type="textWrapping"/>
                  </w:r>
                  <w:r>
                    <w:rPr>
                      <w:rFonts w:hint="eastAsia" w:ascii="宋体" w:hAnsi="宋体" w:eastAsia="宋体" w:cs="宋体"/>
                      <w:color w:val="000000"/>
                      <w:sz w:val="18"/>
                      <w:szCs w:val="18"/>
                      <w:lang w:bidi="ar"/>
                    </w:rPr>
                    <w:t>础</w:t>
                  </w:r>
                  <w:r>
                    <w:rPr>
                      <w:rFonts w:hint="eastAsia" w:ascii="宋体" w:hAnsi="宋体" w:eastAsia="宋体" w:cs="宋体"/>
                      <w:color w:val="000000"/>
                      <w:sz w:val="18"/>
                      <w:szCs w:val="18"/>
                      <w:lang w:bidi="ar"/>
                    </w:rPr>
                    <w:br w:type="textWrapping"/>
                  </w:r>
                  <w:r>
                    <w:rPr>
                      <w:rFonts w:hint="eastAsia" w:ascii="宋体" w:hAnsi="宋体" w:eastAsia="宋体" w:cs="宋体"/>
                      <w:color w:val="000000"/>
                      <w:sz w:val="18"/>
                      <w:szCs w:val="18"/>
                      <w:lang w:bidi="ar"/>
                    </w:rPr>
                    <w:t>课</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1BE9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30</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ABA1F">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会计基本技能</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3015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83F4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04F4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168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0F7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B16B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3ABA7">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CD432">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57AA6">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F1AAD">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F6005">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3A5B6">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927BC">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63170">
                  <w:pPr>
                    <w:jc w:val="center"/>
                    <w:rPr>
                      <w:rFonts w:ascii="宋体" w:hAnsi="宋体" w:eastAsia="宋体" w:cs="宋体"/>
                      <w:color w:val="000000"/>
                      <w:sz w:val="18"/>
                      <w:szCs w:val="18"/>
                    </w:rPr>
                  </w:pPr>
                </w:p>
              </w:tc>
              <w:tc>
                <w:tcPr>
                  <w:tcW w:w="613" w:type="dxa"/>
                  <w:gridSpan w:val="2"/>
                  <w:tcBorders>
                    <w:top w:val="single" w:color="000000" w:sz="4" w:space="0"/>
                    <w:left w:val="single" w:color="000000" w:sz="4" w:space="0"/>
                    <w:bottom w:val="nil"/>
                    <w:right w:val="single" w:color="000000" w:sz="4" w:space="0"/>
                  </w:tcBorders>
                  <w:shd w:val="clear" w:color="auto" w:fill="auto"/>
                  <w:vAlign w:val="center"/>
                </w:tcPr>
                <w:p w14:paraId="2DC35CD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岗位实习</w:t>
                  </w: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E9FEB">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9CA1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00B389F8">
              <w:tblPrEx>
                <w:tblCellMar>
                  <w:top w:w="0" w:type="dxa"/>
                  <w:left w:w="108" w:type="dxa"/>
                  <w:bottom w:w="0" w:type="dxa"/>
                  <w:right w:w="108" w:type="dxa"/>
                </w:tblCellMar>
              </w:tblPrEx>
              <w:trPr>
                <w:trHeight w:val="276"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03209">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C456E">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075B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31</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09E69">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基础会计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9ED1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108</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8BDF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C217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DAF2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6010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14AE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4051E">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53160">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43C25">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40C1E">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1A8F9">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C3CA3">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0D83">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61B55">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1C833CF6">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65BD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F3DD2">
                  <w:pPr>
                    <w:jc w:val="center"/>
                    <w:rPr>
                      <w:rFonts w:ascii="宋体" w:hAnsi="宋体" w:eastAsia="宋体" w:cs="宋体"/>
                      <w:color w:val="000000"/>
                      <w:sz w:val="18"/>
                      <w:szCs w:val="18"/>
                    </w:rPr>
                  </w:pPr>
                </w:p>
              </w:tc>
            </w:tr>
            <w:tr w14:paraId="4E4339D0">
              <w:tblPrEx>
                <w:tblCellMar>
                  <w:top w:w="0" w:type="dxa"/>
                  <w:left w:w="108" w:type="dxa"/>
                  <w:bottom w:w="0" w:type="dxa"/>
                  <w:right w:w="108" w:type="dxa"/>
                </w:tblCellMar>
              </w:tblPrEx>
              <w:trPr>
                <w:trHeight w:val="276"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0990F">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BC7D23">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97EE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32</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5D3D9">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经济法基础</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CF3F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797B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529D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20FF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624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DDF7">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53D3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9A544">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61671">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7C6E4">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5EA80">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209E4">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23E0E">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36AD7">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62D68615">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2B48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3DA1C">
                  <w:pPr>
                    <w:jc w:val="center"/>
                    <w:rPr>
                      <w:rFonts w:ascii="宋体" w:hAnsi="宋体" w:eastAsia="宋体" w:cs="宋体"/>
                      <w:color w:val="000000"/>
                      <w:sz w:val="18"/>
                      <w:szCs w:val="18"/>
                    </w:rPr>
                  </w:pPr>
                </w:p>
              </w:tc>
            </w:tr>
            <w:tr w14:paraId="373CDC4B">
              <w:tblPrEx>
                <w:tblCellMar>
                  <w:top w:w="0" w:type="dxa"/>
                  <w:left w:w="108" w:type="dxa"/>
                  <w:bottom w:w="0" w:type="dxa"/>
                  <w:right w:w="108" w:type="dxa"/>
                </w:tblCellMar>
              </w:tblPrEx>
              <w:trPr>
                <w:trHeight w:val="276"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DD202">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E4A5B">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73E4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33</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E077C">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管理学基础</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1EF1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E5DC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FC6D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C57D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280E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75DB4">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2A90C">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BDF24">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C413F">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FC73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A145F">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C4B5E">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41A3C">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3568">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4CD0A6CE">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C065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D6D0A">
                  <w:pPr>
                    <w:jc w:val="center"/>
                    <w:rPr>
                      <w:rFonts w:ascii="宋体" w:hAnsi="宋体" w:eastAsia="宋体" w:cs="宋体"/>
                      <w:color w:val="000000"/>
                      <w:sz w:val="18"/>
                      <w:szCs w:val="18"/>
                    </w:rPr>
                  </w:pPr>
                </w:p>
              </w:tc>
            </w:tr>
            <w:tr w14:paraId="7B63575A">
              <w:tblPrEx>
                <w:tblCellMar>
                  <w:top w:w="0" w:type="dxa"/>
                  <w:left w:w="108" w:type="dxa"/>
                  <w:bottom w:w="0" w:type="dxa"/>
                  <w:right w:w="108" w:type="dxa"/>
                </w:tblCellMar>
              </w:tblPrEx>
              <w:trPr>
                <w:trHeight w:val="276"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C03E9">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ED33D">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AC3F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34</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BED42">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统计学基础</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9EEB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7D87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936D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97A2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FC57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65E64">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FC9BE">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B4655">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5E939">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0E7F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04B78">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C18EE">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5303D">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5C76">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020025F0">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C2075">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6122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6BC98762">
              <w:tblPrEx>
                <w:tblCellMar>
                  <w:top w:w="0" w:type="dxa"/>
                  <w:left w:w="108" w:type="dxa"/>
                  <w:bottom w:w="0" w:type="dxa"/>
                  <w:right w:w="108" w:type="dxa"/>
                </w:tblCellMar>
              </w:tblPrEx>
              <w:trPr>
                <w:trHeight w:val="432"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B1B32">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EF1E9D">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6318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35</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695E7">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商务数据分析</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1AFE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6543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8876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FA18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5444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988D9">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3CEFE">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897CC">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46FC9">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14F0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0C32A">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E804">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0BF69">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C16CD">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4EB3B9D2">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EC9729">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FF2F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6AB846DE">
              <w:tblPrEx>
                <w:tblCellMar>
                  <w:top w:w="0" w:type="dxa"/>
                  <w:left w:w="108" w:type="dxa"/>
                  <w:bottom w:w="0" w:type="dxa"/>
                  <w:right w:w="108" w:type="dxa"/>
                </w:tblCellMar>
              </w:tblPrEx>
              <w:trPr>
                <w:trHeight w:val="432"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BB2A3">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E0F0C1">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0F84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7F4D">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商务智能概述</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DA01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25FA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C5B5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F1F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891E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376E9">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5908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55FC1">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7667A">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3175D">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3F160">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FB842">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C8149">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8A809">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77B324ED">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C9920">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B325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7734FBD0">
              <w:tblPrEx>
                <w:tblCellMar>
                  <w:top w:w="0" w:type="dxa"/>
                  <w:left w:w="108" w:type="dxa"/>
                  <w:bottom w:w="0" w:type="dxa"/>
                  <w:right w:w="108" w:type="dxa"/>
                </w:tblCellMar>
              </w:tblPrEx>
              <w:trPr>
                <w:trHeight w:val="432"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3A31E">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58206">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A0F0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37</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E3F47">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财务大数据基础</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E5D3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9BE7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CFF1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3457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BADF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E5D48">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D90F6">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F063C">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EEF9C">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AF5EA">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8B50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4AB2B">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74399">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9399F">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4F1457F6">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F51FB">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8ED5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3072FBE5">
              <w:tblPrEx>
                <w:tblCellMar>
                  <w:top w:w="0" w:type="dxa"/>
                  <w:left w:w="108" w:type="dxa"/>
                  <w:bottom w:w="0" w:type="dxa"/>
                  <w:right w:w="108" w:type="dxa"/>
                </w:tblCellMar>
              </w:tblPrEx>
              <w:trPr>
                <w:trHeight w:val="432"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D4E07">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9738F0">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0133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38</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E48D9">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微观经济学原理</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D9BB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A91D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9DC5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5E8E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4482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1958D">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32CB3">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686C5">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D392B">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6D501">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64B8D">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D1EEF">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8B84E">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3370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613" w:type="dxa"/>
                  <w:gridSpan w:val="2"/>
                  <w:tcBorders>
                    <w:top w:val="nil"/>
                    <w:left w:val="single" w:color="000000" w:sz="4" w:space="0"/>
                    <w:bottom w:val="nil"/>
                    <w:right w:val="single" w:color="000000" w:sz="4" w:space="0"/>
                  </w:tcBorders>
                  <w:shd w:val="clear" w:color="auto" w:fill="auto"/>
                  <w:vAlign w:val="center"/>
                </w:tcPr>
                <w:p w14:paraId="64827482">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C9A2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3D9B0">
                  <w:pPr>
                    <w:jc w:val="center"/>
                    <w:rPr>
                      <w:rFonts w:ascii="宋体" w:hAnsi="宋体" w:eastAsia="宋体" w:cs="宋体"/>
                      <w:color w:val="000000"/>
                      <w:sz w:val="18"/>
                      <w:szCs w:val="18"/>
                    </w:rPr>
                  </w:pPr>
                </w:p>
              </w:tc>
            </w:tr>
            <w:tr w14:paraId="26B1868C">
              <w:tblPrEx>
                <w:tblCellMar>
                  <w:top w:w="0" w:type="dxa"/>
                  <w:left w:w="108" w:type="dxa"/>
                  <w:bottom w:w="0" w:type="dxa"/>
                  <w:right w:w="108" w:type="dxa"/>
                </w:tblCellMar>
              </w:tblPrEx>
              <w:trPr>
                <w:trHeight w:val="760"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65A8E">
                  <w:pPr>
                    <w:jc w:val="center"/>
                    <w:rPr>
                      <w:rFonts w:ascii="宋体" w:hAnsi="宋体" w:eastAsia="宋体" w:cs="宋体"/>
                      <w:color w:val="000000"/>
                      <w:sz w:val="18"/>
                      <w:szCs w:val="18"/>
                    </w:rPr>
                  </w:pPr>
                </w:p>
              </w:tc>
              <w:tc>
                <w:tcPr>
                  <w:tcW w:w="471" w:type="dxa"/>
                  <w:vMerge w:val="restart"/>
                  <w:tcBorders>
                    <w:top w:val="single" w:color="000000" w:sz="4" w:space="0"/>
                    <w:left w:val="single" w:color="000000" w:sz="4" w:space="0"/>
                    <w:bottom w:val="nil"/>
                    <w:right w:val="single" w:color="000000" w:sz="4" w:space="0"/>
                  </w:tcBorders>
                  <w:shd w:val="clear" w:color="auto" w:fill="auto"/>
                  <w:vAlign w:val="center"/>
                </w:tcPr>
                <w:p w14:paraId="2E3CD5A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专</w:t>
                  </w:r>
                  <w:r>
                    <w:rPr>
                      <w:rFonts w:hint="eastAsia" w:ascii="宋体" w:hAnsi="宋体" w:eastAsia="宋体" w:cs="宋体"/>
                      <w:color w:val="000000"/>
                      <w:sz w:val="18"/>
                      <w:szCs w:val="18"/>
                      <w:lang w:bidi="ar"/>
                    </w:rPr>
                    <w:br w:type="textWrapping"/>
                  </w:r>
                  <w:r>
                    <w:rPr>
                      <w:rFonts w:hint="eastAsia" w:ascii="宋体" w:hAnsi="宋体" w:eastAsia="宋体" w:cs="宋体"/>
                      <w:color w:val="000000"/>
                      <w:sz w:val="18"/>
                      <w:szCs w:val="18"/>
                      <w:lang w:bidi="ar"/>
                    </w:rPr>
                    <w:t>业</w:t>
                  </w:r>
                  <w:r>
                    <w:rPr>
                      <w:rFonts w:hint="eastAsia" w:ascii="宋体" w:hAnsi="宋体" w:eastAsia="宋体" w:cs="宋体"/>
                      <w:color w:val="000000"/>
                      <w:sz w:val="18"/>
                      <w:szCs w:val="18"/>
                      <w:lang w:bidi="ar"/>
                    </w:rPr>
                    <w:br w:type="textWrapping"/>
                  </w:r>
                  <w:r>
                    <w:rPr>
                      <w:rFonts w:hint="eastAsia" w:ascii="宋体" w:hAnsi="宋体" w:eastAsia="宋体" w:cs="宋体"/>
                      <w:color w:val="000000"/>
                      <w:sz w:val="18"/>
                      <w:szCs w:val="18"/>
                      <w:lang w:bidi="ar"/>
                    </w:rPr>
                    <w:t>核</w:t>
                  </w:r>
                  <w:r>
                    <w:rPr>
                      <w:rFonts w:hint="eastAsia" w:ascii="宋体" w:hAnsi="宋体" w:eastAsia="宋体" w:cs="宋体"/>
                      <w:color w:val="000000"/>
                      <w:sz w:val="18"/>
                      <w:szCs w:val="18"/>
                      <w:lang w:bidi="ar"/>
                    </w:rPr>
                    <w:br w:type="textWrapping"/>
                  </w:r>
                  <w:r>
                    <w:rPr>
                      <w:rFonts w:hint="eastAsia" w:ascii="宋体" w:hAnsi="宋体" w:eastAsia="宋体" w:cs="宋体"/>
                      <w:color w:val="000000"/>
                      <w:sz w:val="18"/>
                      <w:szCs w:val="18"/>
                      <w:lang w:bidi="ar"/>
                    </w:rPr>
                    <w:t>心</w:t>
                  </w:r>
                  <w:r>
                    <w:rPr>
                      <w:rFonts w:hint="eastAsia" w:ascii="宋体" w:hAnsi="宋体" w:eastAsia="宋体" w:cs="宋体"/>
                      <w:color w:val="000000"/>
                      <w:sz w:val="18"/>
                      <w:szCs w:val="18"/>
                      <w:lang w:bidi="ar"/>
                    </w:rPr>
                    <w:br w:type="textWrapping"/>
                  </w:r>
                  <w:r>
                    <w:rPr>
                      <w:rFonts w:hint="eastAsia" w:ascii="宋体" w:hAnsi="宋体" w:eastAsia="宋体" w:cs="宋体"/>
                      <w:color w:val="000000"/>
                      <w:sz w:val="18"/>
                      <w:szCs w:val="18"/>
                      <w:lang w:bidi="ar"/>
                    </w:rPr>
                    <w:t>课</w:t>
                  </w:r>
                  <w:r>
                    <w:rPr>
                      <w:rFonts w:hint="eastAsia" w:ascii="宋体" w:hAnsi="宋体" w:eastAsia="宋体" w:cs="宋体"/>
                      <w:color w:val="000000"/>
                      <w:sz w:val="18"/>
                      <w:szCs w:val="18"/>
                      <w:lang w:bidi="ar"/>
                    </w:rPr>
                    <w:br w:type="textWrapping"/>
                  </w:r>
                  <w:r>
                    <w:rPr>
                      <w:rFonts w:hint="eastAsia" w:ascii="宋体" w:hAnsi="宋体" w:eastAsia="宋体" w:cs="宋体"/>
                      <w:color w:val="000000"/>
                      <w:sz w:val="18"/>
                      <w:szCs w:val="18"/>
                      <w:lang w:bidi="ar"/>
                    </w:rPr>
                    <w:t>程</w:t>
                  </w: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E0A6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39</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16F2D">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企业财务会计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2EAE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9E2A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7FE0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812C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6234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44EB6">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C4F8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36C0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3D968">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81950">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FE42F">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1BBE9">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2B583">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A0A3A">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41C73048">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41DF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E3E1B">
                  <w:pPr>
                    <w:rPr>
                      <w:rFonts w:ascii="等线" w:hAnsi="等线" w:eastAsia="等线" w:cs="等线"/>
                      <w:color w:val="000000"/>
                    </w:rPr>
                  </w:pPr>
                </w:p>
              </w:tc>
            </w:tr>
            <w:tr w14:paraId="71D34E64">
              <w:tblPrEx>
                <w:tblCellMar>
                  <w:top w:w="0" w:type="dxa"/>
                  <w:left w:w="108" w:type="dxa"/>
                  <w:bottom w:w="0" w:type="dxa"/>
                  <w:right w:w="108" w:type="dxa"/>
                </w:tblCellMar>
              </w:tblPrEx>
              <w:trPr>
                <w:trHeight w:val="276"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382B4">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nil"/>
                    <w:right w:val="single" w:color="000000" w:sz="4" w:space="0"/>
                  </w:tcBorders>
                  <w:shd w:val="clear" w:color="auto" w:fill="auto"/>
                  <w:vAlign w:val="center"/>
                </w:tcPr>
                <w:p w14:paraId="6739DEB2">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1526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40</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3A119">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会计电算化</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807D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108</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168B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B3BB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F232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54</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4DED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54</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6D7F7">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81F75">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BA797">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92EC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3BFB1">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D9C68">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5F09E">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C95AB">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6AAC5">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5B8225C0">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F1CF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68D31">
                  <w:pPr>
                    <w:jc w:val="center"/>
                    <w:rPr>
                      <w:rFonts w:ascii="宋体" w:hAnsi="宋体" w:eastAsia="宋体" w:cs="宋体"/>
                      <w:color w:val="000000"/>
                      <w:sz w:val="18"/>
                      <w:szCs w:val="18"/>
                    </w:rPr>
                  </w:pPr>
                </w:p>
              </w:tc>
            </w:tr>
            <w:tr w14:paraId="1446429E">
              <w:tblPrEx>
                <w:tblCellMar>
                  <w:top w:w="0" w:type="dxa"/>
                  <w:left w:w="108" w:type="dxa"/>
                  <w:bottom w:w="0" w:type="dxa"/>
                  <w:right w:w="108" w:type="dxa"/>
                </w:tblCellMar>
              </w:tblPrEx>
              <w:trPr>
                <w:trHeight w:val="432"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733801">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nil"/>
                    <w:right w:val="single" w:color="000000" w:sz="4" w:space="0"/>
                  </w:tcBorders>
                  <w:shd w:val="clear" w:color="auto" w:fill="auto"/>
                  <w:vAlign w:val="center"/>
                </w:tcPr>
                <w:p w14:paraId="29386AF0">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B343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41</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F9A5E">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沙盘模拟企业经营</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1E76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66F4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78DA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1DC3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0</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A0BA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F3361">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30547">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E43F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340E3">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D2799">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4D7F9">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E3890">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C9C43">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3C022">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114EB3B1">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050E4">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BE82A">
                  <w:pPr>
                    <w:textAlignment w:val="center"/>
                    <w:rPr>
                      <w:rFonts w:ascii="等线" w:hAnsi="等线" w:eastAsia="等线" w:cs="等线"/>
                      <w:color w:val="000000"/>
                    </w:rPr>
                  </w:pPr>
                  <w:r>
                    <w:rPr>
                      <w:rFonts w:hint="eastAsia" w:ascii="等线" w:hAnsi="等线" w:eastAsia="等线" w:cs="等线"/>
                      <w:color w:val="000000"/>
                      <w:lang w:bidi="ar"/>
                    </w:rPr>
                    <w:t>√</w:t>
                  </w:r>
                </w:p>
              </w:tc>
            </w:tr>
            <w:tr w14:paraId="127C5C70">
              <w:tblPrEx>
                <w:tblCellMar>
                  <w:top w:w="0" w:type="dxa"/>
                  <w:left w:w="108" w:type="dxa"/>
                  <w:bottom w:w="0" w:type="dxa"/>
                  <w:right w:w="108" w:type="dxa"/>
                </w:tblCellMar>
              </w:tblPrEx>
              <w:trPr>
                <w:trHeight w:val="432"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65314">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nil"/>
                    <w:right w:val="single" w:color="000000" w:sz="4" w:space="0"/>
                  </w:tcBorders>
                  <w:shd w:val="clear" w:color="auto" w:fill="auto"/>
                  <w:vAlign w:val="center"/>
                </w:tcPr>
                <w:p w14:paraId="645E227F">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E422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42</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B6CE3">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成本会计实务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2D213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F681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9D81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902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1777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20D9E">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12F01">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5139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33" w:type="dxa"/>
                  <w:tcBorders>
                    <w:top w:val="nil"/>
                    <w:left w:val="nil"/>
                    <w:bottom w:val="nil"/>
                    <w:right w:val="nil"/>
                  </w:tcBorders>
                  <w:shd w:val="clear" w:color="auto" w:fill="auto"/>
                  <w:noWrap/>
                  <w:vAlign w:val="center"/>
                </w:tcPr>
                <w:p w14:paraId="3DCCE2EB">
                  <w:pPr>
                    <w:rPr>
                      <w:rFonts w:ascii="等线" w:hAnsi="等线" w:eastAsia="等线" w:cs="等线"/>
                      <w:color w:val="000000"/>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1627">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0CCA2">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71D13">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31A8D">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E5E7C">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359BB9A4">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D8ABE">
                  <w:pPr>
                    <w:jc w:val="center"/>
                    <w:textAlignment w:val="center"/>
                    <w:rPr>
                      <w:rFonts w:ascii="等线" w:hAnsi="等线" w:eastAsia="等线" w:cs="等线"/>
                      <w:color w:val="000000"/>
                    </w:rPr>
                  </w:pPr>
                  <w:r>
                    <w:rPr>
                      <w:rFonts w:hint="eastAsia" w:ascii="等线" w:hAnsi="等线" w:eastAsia="等线" w:cs="等线"/>
                      <w:color w:val="000000"/>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05D6A">
                  <w:pPr>
                    <w:jc w:val="center"/>
                    <w:rPr>
                      <w:rFonts w:ascii="宋体" w:hAnsi="宋体" w:eastAsia="宋体" w:cs="宋体"/>
                      <w:color w:val="000000"/>
                      <w:sz w:val="18"/>
                      <w:szCs w:val="18"/>
                    </w:rPr>
                  </w:pPr>
                </w:p>
              </w:tc>
            </w:tr>
            <w:tr w14:paraId="1F59D09A">
              <w:tblPrEx>
                <w:tblCellMar>
                  <w:top w:w="0" w:type="dxa"/>
                  <w:left w:w="108" w:type="dxa"/>
                  <w:bottom w:w="0" w:type="dxa"/>
                  <w:right w:w="108" w:type="dxa"/>
                </w:tblCellMar>
              </w:tblPrEx>
              <w:trPr>
                <w:trHeight w:val="432"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2FF9E">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nil"/>
                    <w:right w:val="single" w:color="000000" w:sz="4" w:space="0"/>
                  </w:tcBorders>
                  <w:shd w:val="clear" w:color="auto" w:fill="auto"/>
                  <w:vAlign w:val="center"/>
                </w:tcPr>
                <w:p w14:paraId="50451C73">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14FA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43</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8A3E3">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财税一体化实训</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4117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F899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EC4B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9BC8">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12D8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DA1FC">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C34FC">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98BB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33" w:type="dxa"/>
                  <w:tcBorders>
                    <w:top w:val="nil"/>
                    <w:left w:val="nil"/>
                    <w:bottom w:val="nil"/>
                    <w:right w:val="nil"/>
                  </w:tcBorders>
                  <w:shd w:val="clear" w:color="auto" w:fill="auto"/>
                  <w:noWrap/>
                  <w:vAlign w:val="center"/>
                </w:tcPr>
                <w:p w14:paraId="562232CA">
                  <w:pPr>
                    <w:rPr>
                      <w:rFonts w:ascii="等线" w:hAnsi="等线" w:eastAsia="等线" w:cs="等线"/>
                      <w:color w:val="000000"/>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34F83">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E5685">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9DE98">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D427C">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C8402">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55112F52">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13A87">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F0970">
                  <w:pPr>
                    <w:textAlignment w:val="center"/>
                    <w:rPr>
                      <w:rFonts w:ascii="等线" w:hAnsi="等线" w:eastAsia="等线" w:cs="等线"/>
                      <w:color w:val="000000"/>
                    </w:rPr>
                  </w:pPr>
                  <w:r>
                    <w:rPr>
                      <w:rFonts w:hint="eastAsia" w:ascii="等线" w:hAnsi="等线" w:eastAsia="等线" w:cs="等线"/>
                      <w:color w:val="000000"/>
                      <w:lang w:bidi="ar"/>
                    </w:rPr>
                    <w:t>√</w:t>
                  </w:r>
                </w:p>
              </w:tc>
            </w:tr>
            <w:tr w14:paraId="4588AC67">
              <w:tblPrEx>
                <w:tblCellMar>
                  <w:top w:w="0" w:type="dxa"/>
                  <w:left w:w="108" w:type="dxa"/>
                  <w:bottom w:w="0" w:type="dxa"/>
                  <w:right w:w="108" w:type="dxa"/>
                </w:tblCellMar>
              </w:tblPrEx>
              <w:trPr>
                <w:trHeight w:val="276"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A45F4A">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nil"/>
                    <w:right w:val="single" w:color="000000" w:sz="4" w:space="0"/>
                  </w:tcBorders>
                  <w:shd w:val="clear" w:color="auto" w:fill="auto"/>
                  <w:vAlign w:val="center"/>
                </w:tcPr>
                <w:p w14:paraId="63E86E53">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DD5B3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44</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03600">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税收基础</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4779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108</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DA52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6220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39A3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54</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F201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54</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00254">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2BC7">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A5445">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FD93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E1B3B">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77C01">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CF678">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85E12">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D9169">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6B603DD0">
                  <w:pPr>
                    <w:jc w:val="center"/>
                    <w:rPr>
                      <w:rFonts w:ascii="宋体" w:hAnsi="宋体" w:eastAsia="宋体" w:cs="宋体"/>
                      <w:color w:val="000000"/>
                      <w:sz w:val="18"/>
                      <w:szCs w:val="18"/>
                    </w:rPr>
                  </w:pPr>
                </w:p>
              </w:tc>
              <w:tc>
                <w:tcPr>
                  <w:tcW w:w="521" w:type="dxa"/>
                  <w:tcBorders>
                    <w:top w:val="nil"/>
                    <w:left w:val="nil"/>
                    <w:bottom w:val="nil"/>
                    <w:right w:val="nil"/>
                  </w:tcBorders>
                  <w:shd w:val="clear" w:color="auto" w:fill="auto"/>
                  <w:noWrap/>
                  <w:vAlign w:val="center"/>
                </w:tcPr>
                <w:p w14:paraId="66303824">
                  <w:pPr>
                    <w:textAlignment w:val="center"/>
                    <w:rPr>
                      <w:rFonts w:ascii="等线" w:hAnsi="等线" w:eastAsia="等线" w:cs="等线"/>
                      <w:color w:val="000000"/>
                    </w:rPr>
                  </w:pPr>
                  <w:r>
                    <w:rPr>
                      <w:rFonts w:hint="eastAsia" w:ascii="等线" w:hAnsi="等线" w:eastAsia="等线" w:cs="等线"/>
                      <w:color w:val="000000"/>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E6A65A">
                  <w:pPr>
                    <w:jc w:val="center"/>
                    <w:rPr>
                      <w:rFonts w:ascii="宋体" w:hAnsi="宋体" w:eastAsia="宋体" w:cs="宋体"/>
                      <w:color w:val="000000"/>
                      <w:sz w:val="18"/>
                      <w:szCs w:val="18"/>
                    </w:rPr>
                  </w:pPr>
                </w:p>
              </w:tc>
            </w:tr>
            <w:tr w14:paraId="2EECA819">
              <w:tblPrEx>
                <w:tblCellMar>
                  <w:top w:w="0" w:type="dxa"/>
                  <w:left w:w="108" w:type="dxa"/>
                  <w:bottom w:w="0" w:type="dxa"/>
                  <w:right w:w="108" w:type="dxa"/>
                </w:tblCellMar>
              </w:tblPrEx>
              <w:trPr>
                <w:trHeight w:val="432"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ABFDD">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nil"/>
                    <w:right w:val="single" w:color="000000" w:sz="4" w:space="0"/>
                  </w:tcBorders>
                  <w:shd w:val="clear" w:color="auto" w:fill="auto"/>
                  <w:vAlign w:val="center"/>
                </w:tcPr>
                <w:p w14:paraId="79AF4FF5">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B5F9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45</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E175D">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手工会计综合实训</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334E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108</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0A3B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630C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9EEB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54</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8246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54</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913D4">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A7D64">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922D7">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A972D">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689F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7A2CC">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D2C52">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A392D">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06910">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7A0B4C12">
                  <w:pPr>
                    <w:jc w:val="center"/>
                    <w:rPr>
                      <w:rFonts w:ascii="宋体" w:hAnsi="宋体" w:eastAsia="宋体" w:cs="宋体"/>
                      <w:color w:val="000000"/>
                      <w:sz w:val="18"/>
                      <w:szCs w:val="18"/>
                    </w:rPr>
                  </w:pPr>
                </w:p>
              </w:tc>
              <w:tc>
                <w:tcPr>
                  <w:tcW w:w="521" w:type="dxa"/>
                  <w:tcBorders>
                    <w:top w:val="nil"/>
                    <w:left w:val="nil"/>
                    <w:bottom w:val="nil"/>
                    <w:right w:val="nil"/>
                  </w:tcBorders>
                  <w:shd w:val="clear" w:color="auto" w:fill="auto"/>
                  <w:noWrap/>
                  <w:vAlign w:val="center"/>
                </w:tcPr>
                <w:p w14:paraId="1E7256C3">
                  <w:pPr>
                    <w:rPr>
                      <w:rFonts w:ascii="等线" w:hAnsi="等线" w:eastAsia="等线" w:cs="等线"/>
                      <w:color w:val="000000"/>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7330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46444C3F">
              <w:tblPrEx>
                <w:tblCellMar>
                  <w:top w:w="0" w:type="dxa"/>
                  <w:left w:w="108" w:type="dxa"/>
                  <w:bottom w:w="0" w:type="dxa"/>
                  <w:right w:w="108" w:type="dxa"/>
                </w:tblCellMar>
              </w:tblPrEx>
              <w:trPr>
                <w:trHeight w:val="432"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98ECA">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nil"/>
                    <w:right w:val="single" w:color="000000" w:sz="4" w:space="0"/>
                  </w:tcBorders>
                  <w:shd w:val="clear" w:color="auto" w:fill="auto"/>
                  <w:vAlign w:val="center"/>
                </w:tcPr>
                <w:p w14:paraId="4BE7AEB4">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608A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46</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5EF24">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EXCEL在会计中的应用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40C1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0002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1D9E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1BD6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ADDC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ABCDC">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C2C27">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67AAE">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D4CFC">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F4F6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6769E">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14E75">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BCE25">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5402">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4BF3A026">
                  <w:pPr>
                    <w:jc w:val="center"/>
                    <w:rPr>
                      <w:rFonts w:ascii="宋体" w:hAnsi="宋体" w:eastAsia="宋体" w:cs="宋体"/>
                      <w:color w:val="000000"/>
                      <w:sz w:val="18"/>
                      <w:szCs w:val="18"/>
                    </w:rPr>
                  </w:pPr>
                </w:p>
              </w:tc>
              <w:tc>
                <w:tcPr>
                  <w:tcW w:w="521" w:type="dxa"/>
                  <w:tcBorders>
                    <w:top w:val="nil"/>
                    <w:left w:val="nil"/>
                    <w:bottom w:val="nil"/>
                    <w:right w:val="nil"/>
                  </w:tcBorders>
                  <w:shd w:val="clear" w:color="auto" w:fill="auto"/>
                  <w:noWrap/>
                  <w:vAlign w:val="center"/>
                </w:tcPr>
                <w:p w14:paraId="5C53C053">
                  <w:pPr>
                    <w:rPr>
                      <w:rFonts w:ascii="等线" w:hAnsi="等线" w:eastAsia="等线" w:cs="等线"/>
                      <w:color w:val="000000"/>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606E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7AC75DEE">
              <w:tblPrEx>
                <w:tblCellMar>
                  <w:top w:w="0" w:type="dxa"/>
                  <w:left w:w="108" w:type="dxa"/>
                  <w:bottom w:w="0" w:type="dxa"/>
                  <w:right w:w="108" w:type="dxa"/>
                </w:tblCellMar>
              </w:tblPrEx>
              <w:trPr>
                <w:trHeight w:val="432"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DF5C9">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nil"/>
                    <w:right w:val="single" w:color="000000" w:sz="4" w:space="0"/>
                  </w:tcBorders>
                  <w:shd w:val="clear" w:color="auto" w:fill="auto"/>
                  <w:vAlign w:val="center"/>
                </w:tcPr>
                <w:p w14:paraId="0F3B0540">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52AE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47</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D05FE">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初级会计实务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B9BB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144</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1AF6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28F8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9261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6BDB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70</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9A16D">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29B0E">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3345D">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CAA2D">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96AC0">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0F888">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B366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2BB5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A2C6F">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578775C4">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DB91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1AB59">
                  <w:pPr>
                    <w:jc w:val="center"/>
                    <w:rPr>
                      <w:rFonts w:ascii="宋体" w:hAnsi="宋体" w:eastAsia="宋体" w:cs="宋体"/>
                      <w:color w:val="000000"/>
                      <w:sz w:val="18"/>
                      <w:szCs w:val="18"/>
                    </w:rPr>
                  </w:pPr>
                </w:p>
              </w:tc>
            </w:tr>
            <w:tr w14:paraId="4B32D87B">
              <w:tblPrEx>
                <w:tblCellMar>
                  <w:top w:w="0" w:type="dxa"/>
                  <w:left w:w="108" w:type="dxa"/>
                  <w:bottom w:w="0" w:type="dxa"/>
                  <w:right w:w="108" w:type="dxa"/>
                </w:tblCellMar>
              </w:tblPrEx>
              <w:trPr>
                <w:trHeight w:val="432"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B7A2E">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nil"/>
                    <w:right w:val="single" w:color="000000" w:sz="4" w:space="0"/>
                  </w:tcBorders>
                  <w:shd w:val="clear" w:color="auto" w:fill="auto"/>
                  <w:vAlign w:val="center"/>
                </w:tcPr>
                <w:p w14:paraId="2F3B2754">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09B9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48</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D6358">
                  <w:pP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供应链管理</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8F40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54CF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74718">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F64F8">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164A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E783">
                  <w:pPr>
                    <w:rPr>
                      <w:rFonts w:ascii="等线" w:hAnsi="等线" w:eastAsia="等线" w:cs="等线"/>
                      <w:color w:val="000000"/>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15BF0">
                  <w:pPr>
                    <w:rPr>
                      <w:rFonts w:ascii="等线" w:hAnsi="等线" w:eastAsia="等线" w:cs="等线"/>
                      <w:color w:val="000000"/>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0EDBC">
                  <w:pPr>
                    <w:rPr>
                      <w:rFonts w:ascii="等线" w:hAnsi="等线" w:eastAsia="等线" w:cs="等线"/>
                      <w:color w:val="000000"/>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D468D">
                  <w:pPr>
                    <w:rPr>
                      <w:rFonts w:ascii="等线" w:hAnsi="等线" w:eastAsia="等线" w:cs="等线"/>
                      <w:color w:val="000000"/>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84F6F">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C48B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E7AE9">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DFBBB">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F32E4">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3CE01558">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F9380">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AA118">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449D44D6">
              <w:tblPrEx>
                <w:tblCellMar>
                  <w:top w:w="0" w:type="dxa"/>
                  <w:left w:w="108" w:type="dxa"/>
                  <w:bottom w:w="0" w:type="dxa"/>
                  <w:right w:w="108" w:type="dxa"/>
                </w:tblCellMar>
              </w:tblPrEx>
              <w:trPr>
                <w:trHeight w:val="276"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7BA73">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nil"/>
                    <w:right w:val="single" w:color="000000" w:sz="4" w:space="0"/>
                  </w:tcBorders>
                  <w:shd w:val="clear" w:color="auto" w:fill="auto"/>
                  <w:vAlign w:val="center"/>
                </w:tcPr>
                <w:p w14:paraId="55A8D0D3">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0230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49</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C2DAA">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财务管理</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0AB1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0BDD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FC03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CDE88">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1F33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CE086">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E3019">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80A7E">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774B2">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479E1">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45C77">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C361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50486">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B6A89">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0F02EC27">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A5A9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295E5">
                  <w:pPr>
                    <w:jc w:val="center"/>
                    <w:rPr>
                      <w:rFonts w:ascii="宋体" w:hAnsi="宋体" w:eastAsia="宋体" w:cs="宋体"/>
                      <w:color w:val="000000"/>
                      <w:sz w:val="18"/>
                      <w:szCs w:val="18"/>
                    </w:rPr>
                  </w:pPr>
                </w:p>
              </w:tc>
            </w:tr>
            <w:tr w14:paraId="17D30C95">
              <w:tblPrEx>
                <w:tblCellMar>
                  <w:top w:w="0" w:type="dxa"/>
                  <w:left w:w="108" w:type="dxa"/>
                  <w:bottom w:w="0" w:type="dxa"/>
                  <w:right w:w="108" w:type="dxa"/>
                </w:tblCellMar>
              </w:tblPrEx>
              <w:trPr>
                <w:trHeight w:val="276"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6ACFE">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nil"/>
                    <w:right w:val="single" w:color="000000" w:sz="4" w:space="0"/>
                  </w:tcBorders>
                  <w:shd w:val="clear" w:color="auto" w:fill="auto"/>
                  <w:vAlign w:val="center"/>
                </w:tcPr>
                <w:p w14:paraId="5E0771A6">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FE44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50</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5D5CE">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管理会计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8216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54</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5E63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D098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308B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2F0D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E01BA">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5416C">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B81A9">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9F76F">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608EF">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187B9">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0A84F">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5D25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22B51">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7CD49D9C">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F6C0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0E44B">
                  <w:pPr>
                    <w:jc w:val="center"/>
                    <w:rPr>
                      <w:rFonts w:ascii="宋体" w:hAnsi="宋体" w:eastAsia="宋体" w:cs="宋体"/>
                      <w:color w:val="000000"/>
                      <w:sz w:val="18"/>
                      <w:szCs w:val="18"/>
                    </w:rPr>
                  </w:pPr>
                </w:p>
              </w:tc>
            </w:tr>
            <w:tr w14:paraId="56F79705">
              <w:tblPrEx>
                <w:tblCellMar>
                  <w:top w:w="0" w:type="dxa"/>
                  <w:left w:w="108" w:type="dxa"/>
                  <w:bottom w:w="0" w:type="dxa"/>
                  <w:right w:w="108" w:type="dxa"/>
                </w:tblCellMar>
              </w:tblPrEx>
              <w:trPr>
                <w:trHeight w:val="432"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66302">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nil"/>
                    <w:right w:val="single" w:color="000000" w:sz="4" w:space="0"/>
                  </w:tcBorders>
                  <w:shd w:val="clear" w:color="auto" w:fill="auto"/>
                  <w:vAlign w:val="center"/>
                </w:tcPr>
                <w:p w14:paraId="22610404">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E17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51</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CC402">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成本核算与管理</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8424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3E84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1B12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5C6B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6199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0F3B9">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2E4B0">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BFDAB">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F58C5">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D5AA2">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A9CE5">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1BED4">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2A95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7AF78">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02837D44">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9581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65C81">
                  <w:pPr>
                    <w:jc w:val="center"/>
                    <w:rPr>
                      <w:rFonts w:ascii="宋体" w:hAnsi="宋体" w:eastAsia="宋体" w:cs="宋体"/>
                      <w:color w:val="000000"/>
                      <w:sz w:val="18"/>
                      <w:szCs w:val="18"/>
                    </w:rPr>
                  </w:pPr>
                </w:p>
              </w:tc>
            </w:tr>
            <w:tr w14:paraId="5371545E">
              <w:tblPrEx>
                <w:tblCellMar>
                  <w:top w:w="0" w:type="dxa"/>
                  <w:left w:w="108" w:type="dxa"/>
                  <w:bottom w:w="0" w:type="dxa"/>
                  <w:right w:w="108" w:type="dxa"/>
                </w:tblCellMar>
              </w:tblPrEx>
              <w:trPr>
                <w:trHeight w:val="432"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69876C">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nil"/>
                    <w:right w:val="single" w:color="000000" w:sz="4" w:space="0"/>
                  </w:tcBorders>
                  <w:shd w:val="clear" w:color="auto" w:fill="auto"/>
                  <w:vAlign w:val="center"/>
                </w:tcPr>
                <w:p w14:paraId="327D3245">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E5A9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52</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6C878">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审计基础与实务</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58D7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1015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C80A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F723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E483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5D081">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CD33B">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06DA0">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3A823F">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6CAD">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CEEC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nil"/>
                    <w:left w:val="nil"/>
                    <w:bottom w:val="nil"/>
                    <w:right w:val="nil"/>
                  </w:tcBorders>
                  <w:shd w:val="clear" w:color="auto" w:fill="auto"/>
                  <w:noWrap/>
                  <w:vAlign w:val="center"/>
                </w:tcPr>
                <w:p w14:paraId="00B04E04">
                  <w:pPr>
                    <w:rPr>
                      <w:rFonts w:ascii="等线" w:hAnsi="等线" w:eastAsia="等线" w:cs="等线"/>
                      <w:color w:val="000000"/>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D9226">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C731A">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7D6893BB">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86904">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1907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7E64E30B">
              <w:tblPrEx>
                <w:tblCellMar>
                  <w:top w:w="0" w:type="dxa"/>
                  <w:left w:w="108" w:type="dxa"/>
                  <w:bottom w:w="0" w:type="dxa"/>
                  <w:right w:w="108" w:type="dxa"/>
                </w:tblCellMar>
              </w:tblPrEx>
              <w:trPr>
                <w:trHeight w:val="432"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E7A22">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nil"/>
                    <w:right w:val="single" w:color="000000" w:sz="4" w:space="0"/>
                  </w:tcBorders>
                  <w:shd w:val="clear" w:color="auto" w:fill="auto"/>
                  <w:vAlign w:val="center"/>
                </w:tcPr>
                <w:p w14:paraId="4F6037FA">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0528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53</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BD82B">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财务大数据分析</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0C78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2908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0789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027D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5C9F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1AE32">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84871C">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019EF">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FBAB7">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AF6F8">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13E91">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1C8A">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5A822">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FFD9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613" w:type="dxa"/>
                  <w:gridSpan w:val="2"/>
                  <w:tcBorders>
                    <w:top w:val="nil"/>
                    <w:left w:val="single" w:color="000000" w:sz="4" w:space="0"/>
                    <w:bottom w:val="nil"/>
                    <w:right w:val="single" w:color="000000" w:sz="4" w:space="0"/>
                  </w:tcBorders>
                  <w:shd w:val="clear" w:color="auto" w:fill="auto"/>
                  <w:vAlign w:val="center"/>
                </w:tcPr>
                <w:p w14:paraId="742F55A6">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5C76D">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07FD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12C5DC78">
              <w:tblPrEx>
                <w:tblCellMar>
                  <w:top w:w="0" w:type="dxa"/>
                  <w:left w:w="108" w:type="dxa"/>
                  <w:bottom w:w="0" w:type="dxa"/>
                  <w:right w:w="108" w:type="dxa"/>
                </w:tblCellMar>
              </w:tblPrEx>
              <w:trPr>
                <w:trHeight w:val="432"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726EF">
                  <w:pPr>
                    <w:jc w:val="center"/>
                    <w:rPr>
                      <w:rFonts w:ascii="宋体" w:hAnsi="宋体" w:eastAsia="宋体" w:cs="宋体"/>
                      <w:color w:val="000000"/>
                      <w:sz w:val="18"/>
                      <w:szCs w:val="18"/>
                    </w:rPr>
                  </w:pPr>
                </w:p>
              </w:tc>
              <w:tc>
                <w:tcPr>
                  <w:tcW w:w="471" w:type="dxa"/>
                  <w:vMerge w:val="continue"/>
                  <w:tcBorders>
                    <w:top w:val="single" w:color="000000" w:sz="4" w:space="0"/>
                    <w:left w:val="single" w:color="000000" w:sz="4" w:space="0"/>
                    <w:bottom w:val="nil"/>
                    <w:right w:val="single" w:color="000000" w:sz="4" w:space="0"/>
                  </w:tcBorders>
                  <w:shd w:val="clear" w:color="auto" w:fill="auto"/>
                  <w:vAlign w:val="center"/>
                </w:tcPr>
                <w:p w14:paraId="334DAE76">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AC6A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54</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3A9B7">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智慧税费申报与管理</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2C26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892B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E088">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26C6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6026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66EAD">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0AD1A">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D9882">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099CD">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940F0">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D0D8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BF14C">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4A583">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E4F34">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79117C11">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193E2">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31AB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3167CD54">
              <w:tblPrEx>
                <w:tblCellMar>
                  <w:top w:w="0" w:type="dxa"/>
                  <w:left w:w="108" w:type="dxa"/>
                  <w:bottom w:w="0" w:type="dxa"/>
                  <w:right w:w="108" w:type="dxa"/>
                </w:tblCellMar>
              </w:tblPrEx>
              <w:trPr>
                <w:trHeight w:val="432"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A79B38">
                  <w:pPr>
                    <w:jc w:val="center"/>
                    <w:rPr>
                      <w:rFonts w:ascii="宋体" w:hAnsi="宋体" w:eastAsia="宋体" w:cs="宋体"/>
                      <w:color w:val="000000"/>
                      <w:sz w:val="18"/>
                      <w:szCs w:val="18"/>
                    </w:rPr>
                  </w:pPr>
                </w:p>
              </w:tc>
              <w:tc>
                <w:tcPr>
                  <w:tcW w:w="471" w:type="dxa"/>
                  <w:vMerge w:val="restart"/>
                  <w:tcBorders>
                    <w:top w:val="nil"/>
                    <w:left w:val="single" w:color="000000" w:sz="4" w:space="0"/>
                    <w:bottom w:val="single" w:color="000000" w:sz="4" w:space="0"/>
                    <w:right w:val="single" w:color="000000" w:sz="4" w:space="0"/>
                  </w:tcBorders>
                  <w:shd w:val="clear" w:color="auto" w:fill="auto"/>
                  <w:vAlign w:val="center"/>
                </w:tcPr>
                <w:p w14:paraId="77FA92F3">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46BC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55</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7F36E">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流通企业购销管理</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2B50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AC8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55D5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A58D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E736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E7E66">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4079E">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4F5D6">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6810D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B2349">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561D1">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64E8A">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FE624">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CBD08">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443CC076">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03F90">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3693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577D4CB9">
              <w:tblPrEx>
                <w:tblCellMar>
                  <w:top w:w="0" w:type="dxa"/>
                  <w:left w:w="108" w:type="dxa"/>
                  <w:bottom w:w="0" w:type="dxa"/>
                  <w:right w:w="108" w:type="dxa"/>
                </w:tblCellMar>
              </w:tblPrEx>
              <w:trPr>
                <w:trHeight w:val="380"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CD665">
                  <w:pPr>
                    <w:jc w:val="center"/>
                    <w:rPr>
                      <w:rFonts w:ascii="宋体" w:hAnsi="宋体" w:eastAsia="宋体" w:cs="宋体"/>
                      <w:color w:val="000000"/>
                      <w:sz w:val="18"/>
                      <w:szCs w:val="18"/>
                    </w:rPr>
                  </w:pPr>
                </w:p>
              </w:tc>
              <w:tc>
                <w:tcPr>
                  <w:tcW w:w="471" w:type="dxa"/>
                  <w:vMerge w:val="continue"/>
                  <w:tcBorders>
                    <w:top w:val="nil"/>
                    <w:left w:val="single" w:color="000000" w:sz="4" w:space="0"/>
                    <w:bottom w:val="single" w:color="000000" w:sz="4" w:space="0"/>
                    <w:right w:val="single" w:color="000000" w:sz="4" w:space="0"/>
                  </w:tcBorders>
                  <w:shd w:val="clear" w:color="auto" w:fill="auto"/>
                  <w:vAlign w:val="center"/>
                </w:tcPr>
                <w:p w14:paraId="16F9DA74">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E4E1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56</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57EF4">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财政与金融</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4008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032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5B29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083F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3C7B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28729">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80025">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A5386">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0B7A">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C3252">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335F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99406">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A7FC">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476A">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3FC57151">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91907">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1EAE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2C45CB12">
              <w:tblPrEx>
                <w:tblCellMar>
                  <w:top w:w="0" w:type="dxa"/>
                  <w:left w:w="108" w:type="dxa"/>
                  <w:bottom w:w="0" w:type="dxa"/>
                  <w:right w:w="108" w:type="dxa"/>
                </w:tblCellMar>
              </w:tblPrEx>
              <w:trPr>
                <w:trHeight w:val="432"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546DF">
                  <w:pPr>
                    <w:jc w:val="center"/>
                    <w:rPr>
                      <w:rFonts w:ascii="宋体" w:hAnsi="宋体" w:eastAsia="宋体" w:cs="宋体"/>
                      <w:color w:val="000000"/>
                      <w:sz w:val="18"/>
                      <w:szCs w:val="18"/>
                    </w:rPr>
                  </w:pPr>
                </w:p>
              </w:tc>
              <w:tc>
                <w:tcPr>
                  <w:tcW w:w="471" w:type="dxa"/>
                  <w:vMerge w:val="continue"/>
                  <w:tcBorders>
                    <w:top w:val="nil"/>
                    <w:left w:val="single" w:color="000000" w:sz="4" w:space="0"/>
                    <w:bottom w:val="single" w:color="000000" w:sz="4" w:space="0"/>
                    <w:right w:val="single" w:color="000000" w:sz="4" w:space="0"/>
                  </w:tcBorders>
                  <w:shd w:val="clear" w:color="auto" w:fill="auto"/>
                  <w:vAlign w:val="center"/>
                </w:tcPr>
                <w:p w14:paraId="68ACC7E7">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DE28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57</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82750">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企业财务机器人应用</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12D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46F5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11188">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A8AE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54</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0EED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72C88">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43E70">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C3125">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625D8">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69B4B">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0858E">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0756C">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58C1A">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C691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613" w:type="dxa"/>
                  <w:gridSpan w:val="2"/>
                  <w:tcBorders>
                    <w:top w:val="nil"/>
                    <w:left w:val="single" w:color="000000" w:sz="4" w:space="0"/>
                    <w:bottom w:val="nil"/>
                    <w:right w:val="single" w:color="000000" w:sz="4" w:space="0"/>
                  </w:tcBorders>
                  <w:shd w:val="clear" w:color="auto" w:fill="auto"/>
                  <w:vAlign w:val="center"/>
                </w:tcPr>
                <w:p w14:paraId="57A827D7">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D3B72">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E642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4D18F6FB">
              <w:tblPrEx>
                <w:tblCellMar>
                  <w:top w:w="0" w:type="dxa"/>
                  <w:left w:w="108" w:type="dxa"/>
                  <w:bottom w:w="0" w:type="dxa"/>
                  <w:right w:w="108" w:type="dxa"/>
                </w:tblCellMar>
              </w:tblPrEx>
              <w:trPr>
                <w:trHeight w:val="432"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C3846">
                  <w:pPr>
                    <w:jc w:val="center"/>
                    <w:rPr>
                      <w:rFonts w:ascii="宋体" w:hAnsi="宋体" w:eastAsia="宋体" w:cs="宋体"/>
                      <w:color w:val="000000"/>
                      <w:sz w:val="18"/>
                      <w:szCs w:val="18"/>
                    </w:rPr>
                  </w:pPr>
                </w:p>
              </w:tc>
              <w:tc>
                <w:tcPr>
                  <w:tcW w:w="471" w:type="dxa"/>
                  <w:vMerge w:val="continue"/>
                  <w:tcBorders>
                    <w:top w:val="nil"/>
                    <w:left w:val="single" w:color="000000" w:sz="4" w:space="0"/>
                    <w:bottom w:val="single" w:color="000000" w:sz="4" w:space="0"/>
                    <w:right w:val="single" w:color="000000" w:sz="4" w:space="0"/>
                  </w:tcBorders>
                  <w:shd w:val="clear" w:color="auto" w:fill="auto"/>
                  <w:vAlign w:val="center"/>
                </w:tcPr>
                <w:p w14:paraId="7A579AE3">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DDEE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58</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D98F1">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企业内部控制</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188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7287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76DD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C9A9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30DA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0DE52">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DD145">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229F7">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0EA22">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2E880">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E61A7">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4ED68">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468EC">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A242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613" w:type="dxa"/>
                  <w:gridSpan w:val="2"/>
                  <w:tcBorders>
                    <w:top w:val="nil"/>
                    <w:left w:val="single" w:color="000000" w:sz="4" w:space="0"/>
                    <w:bottom w:val="nil"/>
                    <w:right w:val="single" w:color="000000" w:sz="4" w:space="0"/>
                  </w:tcBorders>
                  <w:shd w:val="clear" w:color="auto" w:fill="auto"/>
                  <w:vAlign w:val="center"/>
                </w:tcPr>
                <w:p w14:paraId="51193D0A">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778CE">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25E4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4B9677DC">
              <w:tblPrEx>
                <w:tblCellMar>
                  <w:top w:w="0" w:type="dxa"/>
                  <w:left w:w="108" w:type="dxa"/>
                  <w:bottom w:w="0" w:type="dxa"/>
                  <w:right w:w="108" w:type="dxa"/>
                </w:tblCellMar>
              </w:tblPrEx>
              <w:trPr>
                <w:trHeight w:val="276"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7E5CE">
                  <w:pPr>
                    <w:jc w:val="center"/>
                    <w:rPr>
                      <w:rFonts w:ascii="宋体" w:hAnsi="宋体" w:eastAsia="宋体" w:cs="宋体"/>
                      <w:color w:val="000000"/>
                      <w:sz w:val="18"/>
                      <w:szCs w:val="18"/>
                    </w:rPr>
                  </w:pPr>
                </w:p>
              </w:tc>
              <w:tc>
                <w:tcPr>
                  <w:tcW w:w="471" w:type="dxa"/>
                  <w:vMerge w:val="continue"/>
                  <w:tcBorders>
                    <w:top w:val="nil"/>
                    <w:left w:val="single" w:color="000000" w:sz="4" w:space="0"/>
                    <w:bottom w:val="single" w:color="000000" w:sz="4" w:space="0"/>
                    <w:right w:val="single" w:color="000000" w:sz="4" w:space="0"/>
                  </w:tcBorders>
                  <w:shd w:val="clear" w:color="auto" w:fill="auto"/>
                  <w:vAlign w:val="center"/>
                </w:tcPr>
                <w:p w14:paraId="7CC7FBE1">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6E418">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59</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94236">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商务法规</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DF51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1887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E28A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9A73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FE28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36709">
                  <w:pPr>
                    <w:rPr>
                      <w:rFonts w:ascii="等线" w:hAnsi="等线" w:eastAsia="等线" w:cs="等线"/>
                      <w:color w:val="000000"/>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48B00">
                  <w:pPr>
                    <w:rPr>
                      <w:rFonts w:ascii="等线" w:hAnsi="等线" w:eastAsia="等线" w:cs="等线"/>
                      <w:color w:val="000000"/>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56AD3">
                  <w:pPr>
                    <w:rPr>
                      <w:rFonts w:ascii="等线" w:hAnsi="等线" w:eastAsia="等线" w:cs="等线"/>
                      <w:color w:val="000000"/>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FE2D1">
                  <w:pPr>
                    <w:rPr>
                      <w:rFonts w:ascii="等线" w:hAnsi="等线" w:eastAsia="等线" w:cs="等线"/>
                      <w:color w:val="000000"/>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D2E5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68A5B">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68FFD">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EA8F6">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94CD37">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3991ADBE">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3281E">
                  <w:pPr>
                    <w:rPr>
                      <w:rFonts w:ascii="等线" w:hAnsi="等线" w:eastAsia="等线" w:cs="等线"/>
                      <w:color w:val="000000"/>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6D56C">
                  <w:pPr>
                    <w:jc w:val="center"/>
                    <w:textAlignment w:val="center"/>
                    <w:rPr>
                      <w:rFonts w:ascii="等线" w:hAnsi="等线" w:eastAsia="等线" w:cs="等线"/>
                      <w:color w:val="000000"/>
                    </w:rPr>
                  </w:pPr>
                  <w:r>
                    <w:rPr>
                      <w:rFonts w:hint="eastAsia" w:ascii="等线" w:hAnsi="等线" w:eastAsia="等线" w:cs="等线"/>
                      <w:color w:val="000000"/>
                      <w:lang w:bidi="ar"/>
                    </w:rPr>
                    <w:t>√</w:t>
                  </w:r>
                </w:p>
              </w:tc>
            </w:tr>
            <w:tr w14:paraId="5908CFA7">
              <w:tblPrEx>
                <w:tblCellMar>
                  <w:top w:w="0" w:type="dxa"/>
                  <w:left w:w="108" w:type="dxa"/>
                  <w:bottom w:w="0" w:type="dxa"/>
                  <w:right w:w="108" w:type="dxa"/>
                </w:tblCellMar>
              </w:tblPrEx>
              <w:trPr>
                <w:trHeight w:val="276"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114DA">
                  <w:pPr>
                    <w:jc w:val="center"/>
                    <w:rPr>
                      <w:rFonts w:ascii="宋体" w:hAnsi="宋体" w:eastAsia="宋体" w:cs="宋体"/>
                      <w:color w:val="000000"/>
                      <w:sz w:val="18"/>
                      <w:szCs w:val="18"/>
                    </w:rPr>
                  </w:pPr>
                </w:p>
              </w:tc>
              <w:tc>
                <w:tcPr>
                  <w:tcW w:w="471" w:type="dxa"/>
                  <w:vMerge w:val="continue"/>
                  <w:tcBorders>
                    <w:top w:val="nil"/>
                    <w:left w:val="single" w:color="000000" w:sz="4" w:space="0"/>
                    <w:bottom w:val="single" w:color="000000" w:sz="4" w:space="0"/>
                    <w:right w:val="single" w:color="000000" w:sz="4" w:space="0"/>
                  </w:tcBorders>
                  <w:shd w:val="clear" w:color="auto" w:fill="auto"/>
                  <w:vAlign w:val="center"/>
                </w:tcPr>
                <w:p w14:paraId="0109D88C">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5352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60</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5A94F">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市场营销</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D164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CDF8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77B2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B995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5D40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4DAD4">
                  <w:pPr>
                    <w:rPr>
                      <w:rFonts w:ascii="等线" w:hAnsi="等线" w:eastAsia="等线" w:cs="等线"/>
                      <w:color w:val="000000"/>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BC444">
                  <w:pPr>
                    <w:rPr>
                      <w:rFonts w:ascii="等线" w:hAnsi="等线" w:eastAsia="等线" w:cs="等线"/>
                      <w:color w:val="000000"/>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548F5">
                  <w:pPr>
                    <w:rPr>
                      <w:rFonts w:ascii="等线" w:hAnsi="等线" w:eastAsia="等线" w:cs="等线"/>
                      <w:color w:val="000000"/>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CBA57">
                  <w:pPr>
                    <w:jc w:val="right"/>
                    <w:textAlignment w:val="center"/>
                    <w:rPr>
                      <w:rFonts w:ascii="等线" w:hAnsi="等线" w:eastAsia="等线" w:cs="等线"/>
                      <w:color w:val="000000"/>
                    </w:rPr>
                  </w:pPr>
                  <w:r>
                    <w:rPr>
                      <w:rFonts w:hint="eastAsia" w:ascii="等线" w:hAnsi="等线" w:eastAsia="等线" w:cs="等线"/>
                      <w:color w:val="000000"/>
                      <w:lang w:bidi="ar"/>
                    </w:rPr>
                    <w:t>2</w:t>
                  </w: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5858F">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16C48">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3DBDF">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6F26C">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EEF1A">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3597986E">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F8197">
                  <w:pPr>
                    <w:rPr>
                      <w:rFonts w:ascii="等线" w:hAnsi="等线" w:eastAsia="等线" w:cs="等线"/>
                      <w:color w:val="000000"/>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B383A">
                  <w:pPr>
                    <w:jc w:val="center"/>
                    <w:textAlignment w:val="center"/>
                    <w:rPr>
                      <w:rFonts w:ascii="等线" w:hAnsi="等线" w:eastAsia="等线" w:cs="等线"/>
                      <w:color w:val="000000"/>
                    </w:rPr>
                  </w:pPr>
                  <w:r>
                    <w:rPr>
                      <w:rFonts w:hint="eastAsia" w:ascii="等线" w:hAnsi="等线" w:eastAsia="等线" w:cs="等线"/>
                      <w:color w:val="000000"/>
                      <w:lang w:bidi="ar"/>
                    </w:rPr>
                    <w:t>√</w:t>
                  </w:r>
                </w:p>
              </w:tc>
            </w:tr>
            <w:tr w14:paraId="29AF7439">
              <w:tblPrEx>
                <w:tblCellMar>
                  <w:top w:w="0" w:type="dxa"/>
                  <w:left w:w="108" w:type="dxa"/>
                  <w:bottom w:w="0" w:type="dxa"/>
                  <w:right w:w="108" w:type="dxa"/>
                </w:tblCellMar>
              </w:tblPrEx>
              <w:trPr>
                <w:trHeight w:val="276"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3178E">
                  <w:pPr>
                    <w:jc w:val="center"/>
                    <w:rPr>
                      <w:rFonts w:ascii="宋体" w:hAnsi="宋体" w:eastAsia="宋体" w:cs="宋体"/>
                      <w:color w:val="000000"/>
                      <w:sz w:val="18"/>
                      <w:szCs w:val="18"/>
                    </w:rPr>
                  </w:pPr>
                </w:p>
              </w:tc>
              <w:tc>
                <w:tcPr>
                  <w:tcW w:w="471" w:type="dxa"/>
                  <w:vMerge w:val="continue"/>
                  <w:tcBorders>
                    <w:top w:val="nil"/>
                    <w:left w:val="single" w:color="000000" w:sz="4" w:space="0"/>
                    <w:bottom w:val="single" w:color="000000" w:sz="4" w:space="0"/>
                    <w:right w:val="single" w:color="000000" w:sz="4" w:space="0"/>
                  </w:tcBorders>
                  <w:shd w:val="clear" w:color="auto" w:fill="auto"/>
                  <w:vAlign w:val="center"/>
                </w:tcPr>
                <w:p w14:paraId="717B6CEA">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E2E0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61</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91829">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资产评估</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0D7A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8D0333">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0687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5364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0752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BECFB">
                  <w:pPr>
                    <w:rPr>
                      <w:rFonts w:ascii="等线" w:hAnsi="等线" w:eastAsia="等线" w:cs="等线"/>
                      <w:color w:val="000000"/>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F246A">
                  <w:pPr>
                    <w:rPr>
                      <w:rFonts w:ascii="等线" w:hAnsi="等线" w:eastAsia="等线" w:cs="等线"/>
                      <w:color w:val="000000"/>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4B812">
                  <w:pPr>
                    <w:rPr>
                      <w:rFonts w:ascii="等线" w:hAnsi="等线" w:eastAsia="等线" w:cs="等线"/>
                      <w:color w:val="000000"/>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661E8">
                  <w:pPr>
                    <w:rPr>
                      <w:rFonts w:ascii="等线" w:hAnsi="等线" w:eastAsia="等线" w:cs="等线"/>
                      <w:color w:val="000000"/>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6D32E">
                  <w:pPr>
                    <w:rPr>
                      <w:rFonts w:ascii="等线" w:hAnsi="等线" w:eastAsia="等线" w:cs="等线"/>
                      <w:color w:val="000000"/>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053A4">
                  <w:pPr>
                    <w:jc w:val="right"/>
                    <w:textAlignment w:val="center"/>
                    <w:rPr>
                      <w:rFonts w:ascii="等线" w:hAnsi="等线" w:eastAsia="等线" w:cs="等线"/>
                      <w:color w:val="000000"/>
                    </w:rPr>
                  </w:pPr>
                  <w:r>
                    <w:rPr>
                      <w:rFonts w:hint="eastAsia" w:ascii="等线" w:hAnsi="等线" w:eastAsia="等线" w:cs="等线"/>
                      <w:color w:val="000000"/>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5A2CD">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385B7">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D7EE4">
                  <w:pPr>
                    <w:jc w:val="center"/>
                    <w:rPr>
                      <w:rFonts w:ascii="宋体" w:hAnsi="宋体" w:eastAsia="宋体" w:cs="宋体"/>
                      <w:color w:val="000000"/>
                      <w:sz w:val="18"/>
                      <w:szCs w:val="18"/>
                    </w:rPr>
                  </w:pPr>
                </w:p>
              </w:tc>
              <w:tc>
                <w:tcPr>
                  <w:tcW w:w="613" w:type="dxa"/>
                  <w:gridSpan w:val="2"/>
                  <w:tcBorders>
                    <w:top w:val="nil"/>
                    <w:left w:val="single" w:color="000000" w:sz="4" w:space="0"/>
                    <w:bottom w:val="nil"/>
                    <w:right w:val="single" w:color="000000" w:sz="4" w:space="0"/>
                  </w:tcBorders>
                  <w:shd w:val="clear" w:color="auto" w:fill="auto"/>
                  <w:vAlign w:val="center"/>
                </w:tcPr>
                <w:p w14:paraId="77F9E09E">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B0DE6">
                  <w:pPr>
                    <w:rPr>
                      <w:rFonts w:ascii="等线" w:hAnsi="等线" w:eastAsia="等线" w:cs="等线"/>
                      <w:color w:val="000000"/>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11E2D">
                  <w:pPr>
                    <w:jc w:val="center"/>
                    <w:textAlignment w:val="center"/>
                    <w:rPr>
                      <w:rFonts w:ascii="等线" w:hAnsi="等线" w:eastAsia="等线" w:cs="等线"/>
                      <w:color w:val="000000"/>
                    </w:rPr>
                  </w:pPr>
                  <w:r>
                    <w:rPr>
                      <w:rFonts w:hint="eastAsia" w:ascii="等线" w:hAnsi="等线" w:eastAsia="等线" w:cs="等线"/>
                      <w:color w:val="000000"/>
                      <w:lang w:bidi="ar"/>
                    </w:rPr>
                    <w:t>√</w:t>
                  </w:r>
                </w:p>
              </w:tc>
            </w:tr>
            <w:tr w14:paraId="72150F50">
              <w:tblPrEx>
                <w:tblCellMar>
                  <w:top w:w="0" w:type="dxa"/>
                  <w:left w:w="108" w:type="dxa"/>
                  <w:bottom w:w="0" w:type="dxa"/>
                  <w:right w:w="108" w:type="dxa"/>
                </w:tblCellMar>
              </w:tblPrEx>
              <w:trPr>
                <w:trHeight w:val="648" w:hRule="atLeast"/>
                <w:jc w:val="center"/>
              </w:trPr>
              <w:tc>
                <w:tcPr>
                  <w:tcW w:w="47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A7A4F">
                  <w:pPr>
                    <w:jc w:val="center"/>
                    <w:rPr>
                      <w:rFonts w:ascii="宋体" w:hAnsi="宋体" w:eastAsia="宋体" w:cs="宋体"/>
                      <w:color w:val="000000"/>
                      <w:sz w:val="18"/>
                      <w:szCs w:val="18"/>
                    </w:rPr>
                  </w:pPr>
                </w:p>
              </w:tc>
              <w:tc>
                <w:tcPr>
                  <w:tcW w:w="471" w:type="dxa"/>
                  <w:vMerge w:val="continue"/>
                  <w:tcBorders>
                    <w:top w:val="nil"/>
                    <w:left w:val="single" w:color="000000" w:sz="4" w:space="0"/>
                    <w:bottom w:val="single" w:color="000000" w:sz="4" w:space="0"/>
                    <w:right w:val="single" w:color="000000" w:sz="4" w:space="0"/>
                  </w:tcBorders>
                  <w:shd w:val="clear" w:color="auto" w:fill="auto"/>
                  <w:vAlign w:val="center"/>
                </w:tcPr>
                <w:p w14:paraId="6C030D1A">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A879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62</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FBFE3">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会计信息管理化综合实训</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124C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BF049">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DD0C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F14DF">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20</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79C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52</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D1EDC">
                  <w:pPr>
                    <w:rPr>
                      <w:rFonts w:ascii="等线" w:hAnsi="等线" w:eastAsia="等线" w:cs="等线"/>
                      <w:color w:val="000000"/>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5CE03">
                  <w:pPr>
                    <w:rPr>
                      <w:rFonts w:ascii="等线" w:hAnsi="等线" w:eastAsia="等线" w:cs="等线"/>
                      <w:color w:val="000000"/>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D3F1A">
                  <w:pPr>
                    <w:rPr>
                      <w:rFonts w:ascii="等线" w:hAnsi="等线" w:eastAsia="等线" w:cs="等线"/>
                      <w:color w:val="000000"/>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AA595">
                  <w:pPr>
                    <w:rPr>
                      <w:rFonts w:ascii="等线" w:hAnsi="等线" w:eastAsia="等线" w:cs="等线"/>
                      <w:color w:val="000000"/>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1681">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4F1062">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437F2">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32F88">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4E78">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613" w:type="dxa"/>
                  <w:gridSpan w:val="2"/>
                  <w:tcBorders>
                    <w:top w:val="nil"/>
                    <w:left w:val="single" w:color="000000" w:sz="4" w:space="0"/>
                    <w:bottom w:val="nil"/>
                    <w:right w:val="single" w:color="000000" w:sz="4" w:space="0"/>
                  </w:tcBorders>
                  <w:shd w:val="clear" w:color="auto" w:fill="auto"/>
                  <w:vAlign w:val="center"/>
                </w:tcPr>
                <w:p w14:paraId="04F6382D">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5BD02">
                  <w:pPr>
                    <w:rPr>
                      <w:rFonts w:ascii="等线" w:hAnsi="等线" w:eastAsia="等线" w:cs="等线"/>
                      <w:color w:val="000000"/>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0EB70">
                  <w:pPr>
                    <w:jc w:val="center"/>
                    <w:textAlignment w:val="center"/>
                    <w:rPr>
                      <w:rFonts w:ascii="等线" w:hAnsi="等线" w:eastAsia="等线" w:cs="等线"/>
                      <w:color w:val="000000"/>
                    </w:rPr>
                  </w:pPr>
                  <w:r>
                    <w:rPr>
                      <w:rFonts w:hint="eastAsia" w:ascii="等线" w:hAnsi="等线" w:eastAsia="等线" w:cs="等线"/>
                      <w:color w:val="000000"/>
                      <w:lang w:bidi="ar"/>
                    </w:rPr>
                    <w:t>√</w:t>
                  </w:r>
                </w:p>
              </w:tc>
            </w:tr>
            <w:tr w14:paraId="2684AB8E">
              <w:tblPrEx>
                <w:tblCellMar>
                  <w:top w:w="0" w:type="dxa"/>
                  <w:left w:w="108" w:type="dxa"/>
                  <w:bottom w:w="0" w:type="dxa"/>
                  <w:right w:w="108" w:type="dxa"/>
                </w:tblCellMar>
              </w:tblPrEx>
              <w:trPr>
                <w:trHeight w:val="276" w:hRule="atLeast"/>
                <w:jc w:val="center"/>
              </w:trPr>
              <w:tc>
                <w:tcPr>
                  <w:tcW w:w="470" w:type="dxa"/>
                  <w:gridSpan w:val="2"/>
                  <w:tcBorders>
                    <w:top w:val="single" w:color="000000" w:sz="4" w:space="0"/>
                    <w:left w:val="single" w:color="000000" w:sz="4" w:space="0"/>
                    <w:bottom w:val="single" w:color="000000" w:sz="4" w:space="0"/>
                    <w:right w:val="single" w:color="000000" w:sz="4" w:space="0"/>
                  </w:tcBorders>
                  <w:shd w:val="clear" w:color="auto" w:fill="D9E1F2"/>
                  <w:vAlign w:val="center"/>
                </w:tcPr>
                <w:p w14:paraId="2CF951EC">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小计</w:t>
                  </w:r>
                </w:p>
              </w:tc>
              <w:tc>
                <w:tcPr>
                  <w:tcW w:w="471"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73C886E6">
                  <w:pPr>
                    <w:jc w:val="center"/>
                    <w:rPr>
                      <w:rFonts w:ascii="宋体" w:hAnsi="宋体" w:eastAsia="宋体" w:cs="宋体"/>
                      <w:b/>
                      <w:bCs/>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6EEC2049">
                  <w:pPr>
                    <w:jc w:val="center"/>
                    <w:rPr>
                      <w:rFonts w:ascii="宋体" w:hAnsi="宋体" w:eastAsia="宋体" w:cs="宋体"/>
                      <w:b/>
                      <w:bCs/>
                      <w:color w:val="000000"/>
                      <w:sz w:val="18"/>
                      <w:szCs w:val="18"/>
                    </w:rPr>
                  </w:pPr>
                </w:p>
              </w:tc>
              <w:tc>
                <w:tcPr>
                  <w:tcW w:w="2127"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739F7EBC">
                  <w:pPr>
                    <w:jc w:val="center"/>
                    <w:rPr>
                      <w:rFonts w:ascii="宋体" w:hAnsi="宋体" w:eastAsia="宋体" w:cs="宋体"/>
                      <w:b/>
                      <w:bCs/>
                      <w:color w:val="000000"/>
                      <w:sz w:val="18"/>
                      <w:szCs w:val="18"/>
                    </w:rPr>
                  </w:pPr>
                </w:p>
              </w:tc>
              <w:tc>
                <w:tcPr>
                  <w:tcW w:w="567"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48CDF9FE">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2538</w:t>
                  </w:r>
                </w:p>
              </w:tc>
              <w:tc>
                <w:tcPr>
                  <w:tcW w:w="477"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20FC5D51">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141</w:t>
                  </w:r>
                </w:p>
              </w:tc>
              <w:tc>
                <w:tcPr>
                  <w:tcW w:w="586"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0C94B050">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133</w:t>
                  </w:r>
                </w:p>
              </w:tc>
              <w:tc>
                <w:tcPr>
                  <w:tcW w:w="573"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3F3CB645">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1208</w:t>
                  </w:r>
                </w:p>
              </w:tc>
              <w:tc>
                <w:tcPr>
                  <w:tcW w:w="653"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17293A4E">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1166</w:t>
                  </w:r>
                </w:p>
              </w:tc>
              <w:tc>
                <w:tcPr>
                  <w:tcW w:w="653"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23AE6F85">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10</w:t>
                  </w:r>
                </w:p>
              </w:tc>
              <w:tc>
                <w:tcPr>
                  <w:tcW w:w="547"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75F90918">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12</w:t>
                  </w:r>
                </w:p>
              </w:tc>
              <w:tc>
                <w:tcPr>
                  <w:tcW w:w="533"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6DDEDE5E">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16</w:t>
                  </w:r>
                </w:p>
              </w:tc>
              <w:tc>
                <w:tcPr>
                  <w:tcW w:w="533"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1A05B7B5">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16</w:t>
                  </w:r>
                </w:p>
              </w:tc>
              <w:tc>
                <w:tcPr>
                  <w:tcW w:w="560"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68656275">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26</w:t>
                  </w:r>
                </w:p>
              </w:tc>
              <w:tc>
                <w:tcPr>
                  <w:tcW w:w="639"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147F1C31">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24</w:t>
                  </w:r>
                </w:p>
              </w:tc>
              <w:tc>
                <w:tcPr>
                  <w:tcW w:w="586"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6B6936AD">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8</w:t>
                  </w:r>
                </w:p>
              </w:tc>
              <w:tc>
                <w:tcPr>
                  <w:tcW w:w="665"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3E637180">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11</w:t>
                  </w:r>
                </w:p>
              </w:tc>
              <w:tc>
                <w:tcPr>
                  <w:tcW w:w="480"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08060FA6">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20</w:t>
                  </w:r>
                </w:p>
              </w:tc>
              <w:tc>
                <w:tcPr>
                  <w:tcW w:w="613" w:type="dxa"/>
                  <w:gridSpan w:val="2"/>
                  <w:tcBorders>
                    <w:top w:val="single" w:color="000000" w:sz="4" w:space="0"/>
                    <w:left w:val="single" w:color="000000" w:sz="4" w:space="0"/>
                    <w:bottom w:val="single" w:color="000000" w:sz="4" w:space="0"/>
                    <w:right w:val="single" w:color="000000" w:sz="4" w:space="0"/>
                  </w:tcBorders>
                  <w:shd w:val="clear" w:color="auto" w:fill="D9E1F2"/>
                  <w:vAlign w:val="center"/>
                </w:tcPr>
                <w:p w14:paraId="6B93061B">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0</w:t>
                  </w:r>
                </w:p>
              </w:tc>
              <w:tc>
                <w:tcPr>
                  <w:tcW w:w="521" w:type="dxa"/>
                  <w:tcBorders>
                    <w:top w:val="single" w:color="000000" w:sz="4" w:space="0"/>
                    <w:left w:val="single" w:color="000000" w:sz="4" w:space="0"/>
                    <w:bottom w:val="single" w:color="000000" w:sz="4" w:space="0"/>
                    <w:right w:val="single" w:color="000000" w:sz="4" w:space="0"/>
                  </w:tcBorders>
                  <w:shd w:val="clear" w:color="auto" w:fill="D9E1F2"/>
                  <w:noWrap/>
                  <w:vAlign w:val="center"/>
                </w:tcPr>
                <w:p w14:paraId="025E197F">
                  <w:pPr>
                    <w:jc w:val="center"/>
                    <w:rPr>
                      <w:rFonts w:ascii="宋体" w:hAnsi="宋体" w:eastAsia="宋体" w:cs="宋体"/>
                      <w:b/>
                      <w:bCs/>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D9E1F2"/>
                  <w:noWrap/>
                  <w:vAlign w:val="center"/>
                </w:tcPr>
                <w:p w14:paraId="6F04CEF6">
                  <w:pPr>
                    <w:rPr>
                      <w:rFonts w:ascii="等线" w:hAnsi="等线" w:eastAsia="等线" w:cs="等线"/>
                      <w:b/>
                      <w:bCs/>
                      <w:color w:val="000000"/>
                    </w:rPr>
                  </w:pPr>
                </w:p>
              </w:tc>
            </w:tr>
            <w:tr w14:paraId="0C4FD724">
              <w:tblPrEx>
                <w:tblCellMar>
                  <w:top w:w="0" w:type="dxa"/>
                  <w:left w:w="108" w:type="dxa"/>
                  <w:bottom w:w="0" w:type="dxa"/>
                  <w:right w:w="108" w:type="dxa"/>
                </w:tblCellMar>
              </w:tblPrEx>
              <w:trPr>
                <w:trHeight w:val="1080" w:hRule="atLeast"/>
                <w:jc w:val="center"/>
              </w:trPr>
              <w:tc>
                <w:tcPr>
                  <w:tcW w:w="470" w:type="dxa"/>
                  <w:gridSpan w:val="2"/>
                  <w:tcBorders>
                    <w:top w:val="single" w:color="000000" w:sz="4" w:space="0"/>
                    <w:left w:val="single" w:color="000000" w:sz="4" w:space="0"/>
                    <w:bottom w:val="nil"/>
                    <w:right w:val="nil"/>
                  </w:tcBorders>
                  <w:shd w:val="clear" w:color="auto" w:fill="auto"/>
                  <w:vAlign w:val="center"/>
                </w:tcPr>
                <w:p w14:paraId="4AB63EA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素</w:t>
                  </w:r>
                  <w:r>
                    <w:rPr>
                      <w:rFonts w:hint="eastAsia" w:ascii="宋体" w:hAnsi="宋体" w:eastAsia="宋体" w:cs="宋体"/>
                      <w:color w:val="000000"/>
                      <w:sz w:val="18"/>
                      <w:szCs w:val="18"/>
                      <w:lang w:bidi="ar"/>
                    </w:rPr>
                    <w:br w:type="textWrapping"/>
                  </w:r>
                  <w:r>
                    <w:rPr>
                      <w:rFonts w:hint="eastAsia" w:ascii="宋体" w:hAnsi="宋体" w:eastAsia="宋体" w:cs="宋体"/>
                      <w:color w:val="000000"/>
                      <w:sz w:val="18"/>
                      <w:szCs w:val="18"/>
                      <w:lang w:bidi="ar"/>
                    </w:rPr>
                    <w:t>质</w:t>
                  </w:r>
                  <w:r>
                    <w:rPr>
                      <w:rFonts w:hint="eastAsia" w:ascii="宋体" w:hAnsi="宋体" w:eastAsia="宋体" w:cs="宋体"/>
                      <w:color w:val="000000"/>
                      <w:sz w:val="18"/>
                      <w:szCs w:val="18"/>
                      <w:lang w:bidi="ar"/>
                    </w:rPr>
                    <w:br w:type="textWrapping"/>
                  </w:r>
                  <w:r>
                    <w:rPr>
                      <w:rFonts w:hint="eastAsia" w:ascii="宋体" w:hAnsi="宋体" w:eastAsia="宋体" w:cs="宋体"/>
                      <w:color w:val="000000"/>
                      <w:sz w:val="18"/>
                      <w:szCs w:val="18"/>
                      <w:lang w:bidi="ar"/>
                    </w:rPr>
                    <w:t>拓</w:t>
                  </w:r>
                  <w:r>
                    <w:rPr>
                      <w:rFonts w:hint="eastAsia" w:ascii="宋体" w:hAnsi="宋体" w:eastAsia="宋体" w:cs="宋体"/>
                      <w:color w:val="000000"/>
                      <w:sz w:val="18"/>
                      <w:szCs w:val="18"/>
                      <w:lang w:bidi="ar"/>
                    </w:rPr>
                    <w:br w:type="textWrapping"/>
                  </w:r>
                  <w:r>
                    <w:rPr>
                      <w:rFonts w:hint="eastAsia" w:ascii="宋体" w:hAnsi="宋体" w:eastAsia="宋体" w:cs="宋体"/>
                      <w:color w:val="000000"/>
                      <w:sz w:val="18"/>
                      <w:szCs w:val="18"/>
                      <w:lang w:bidi="ar"/>
                    </w:rPr>
                    <w:t>展</w:t>
                  </w:r>
                  <w:r>
                    <w:rPr>
                      <w:rFonts w:hint="eastAsia" w:ascii="宋体" w:hAnsi="宋体" w:eastAsia="宋体" w:cs="宋体"/>
                      <w:color w:val="000000"/>
                      <w:sz w:val="18"/>
                      <w:szCs w:val="18"/>
                      <w:lang w:bidi="ar"/>
                    </w:rPr>
                    <w:br w:type="textWrapping"/>
                  </w:r>
                  <w:r>
                    <w:rPr>
                      <w:rFonts w:hint="eastAsia" w:ascii="宋体" w:hAnsi="宋体" w:eastAsia="宋体" w:cs="宋体"/>
                      <w:color w:val="000000"/>
                      <w:sz w:val="18"/>
                      <w:szCs w:val="18"/>
                      <w:lang w:bidi="ar"/>
                    </w:rPr>
                    <w:t>课</w:t>
                  </w:r>
                </w:p>
              </w:tc>
              <w:tc>
                <w:tcPr>
                  <w:tcW w:w="471" w:type="dxa"/>
                  <w:tcBorders>
                    <w:top w:val="single" w:color="000000" w:sz="4" w:space="0"/>
                    <w:left w:val="nil"/>
                    <w:bottom w:val="nil"/>
                    <w:right w:val="single" w:color="000000" w:sz="4" w:space="0"/>
                  </w:tcBorders>
                  <w:shd w:val="clear" w:color="auto" w:fill="auto"/>
                  <w:vAlign w:val="center"/>
                </w:tcPr>
                <w:p w14:paraId="4C8D6A5F">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AE1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62</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120DE">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军事技能</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691D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5602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6DF2F">
                  <w:pPr>
                    <w:jc w:val="center"/>
                    <w:rPr>
                      <w:rFonts w:ascii="宋体" w:hAnsi="宋体" w:eastAsia="宋体" w:cs="宋体"/>
                      <w:color w:val="000000"/>
                      <w:sz w:val="18"/>
                      <w:szCs w:val="18"/>
                    </w:rPr>
                  </w:pP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CE331">
                  <w:pPr>
                    <w:jc w:val="center"/>
                    <w:rPr>
                      <w:rFonts w:ascii="宋体" w:hAnsi="宋体" w:eastAsia="宋体" w:cs="宋体"/>
                      <w:color w:val="000000"/>
                      <w:sz w:val="18"/>
                      <w:szCs w:val="18"/>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4B5D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112</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0567D">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2w</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2D665">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7D5F4">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7D5D2">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2AD96">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A143A">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6F2E0">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0543E">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C9255">
                  <w:pPr>
                    <w:jc w:val="center"/>
                    <w:rPr>
                      <w:rFonts w:ascii="宋体" w:hAnsi="宋体" w:eastAsia="宋体" w:cs="宋体"/>
                      <w:color w:val="000000"/>
                      <w:sz w:val="18"/>
                      <w:szCs w:val="18"/>
                    </w:rPr>
                  </w:pPr>
                </w:p>
              </w:tc>
              <w:tc>
                <w:tcPr>
                  <w:tcW w:w="6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D6AF7B">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6CB0B">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811C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61BE86A6">
              <w:tblPrEx>
                <w:tblCellMar>
                  <w:top w:w="0" w:type="dxa"/>
                  <w:left w:w="108" w:type="dxa"/>
                  <w:bottom w:w="0" w:type="dxa"/>
                  <w:right w:w="108" w:type="dxa"/>
                </w:tblCellMar>
              </w:tblPrEx>
              <w:trPr>
                <w:trHeight w:val="276" w:hRule="atLeast"/>
                <w:jc w:val="center"/>
              </w:trPr>
              <w:tc>
                <w:tcPr>
                  <w:tcW w:w="470" w:type="dxa"/>
                  <w:gridSpan w:val="2"/>
                  <w:tcBorders>
                    <w:top w:val="nil"/>
                    <w:left w:val="single" w:color="000000" w:sz="4" w:space="0"/>
                    <w:bottom w:val="nil"/>
                    <w:right w:val="nil"/>
                  </w:tcBorders>
                  <w:shd w:val="clear" w:color="auto" w:fill="auto"/>
                  <w:vAlign w:val="center"/>
                </w:tcPr>
                <w:p w14:paraId="6DFD489B">
                  <w:pPr>
                    <w:jc w:val="center"/>
                    <w:rPr>
                      <w:rFonts w:ascii="宋体" w:hAnsi="宋体" w:eastAsia="宋体" w:cs="宋体"/>
                      <w:color w:val="000000"/>
                      <w:sz w:val="18"/>
                      <w:szCs w:val="18"/>
                    </w:rPr>
                  </w:pPr>
                </w:p>
              </w:tc>
              <w:tc>
                <w:tcPr>
                  <w:tcW w:w="471" w:type="dxa"/>
                  <w:tcBorders>
                    <w:top w:val="nil"/>
                    <w:left w:val="nil"/>
                    <w:bottom w:val="nil"/>
                    <w:right w:val="single" w:color="000000" w:sz="4" w:space="0"/>
                  </w:tcBorders>
                  <w:shd w:val="clear" w:color="auto" w:fill="auto"/>
                  <w:vAlign w:val="center"/>
                </w:tcPr>
                <w:p w14:paraId="28D75BEB">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E18B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63</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7163A">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入学教育</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C583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18</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0B861">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E33E3">
                  <w:pPr>
                    <w:jc w:val="center"/>
                    <w:rPr>
                      <w:rFonts w:ascii="宋体" w:hAnsi="宋体" w:eastAsia="宋体" w:cs="宋体"/>
                      <w:color w:val="000000"/>
                      <w:sz w:val="18"/>
                      <w:szCs w:val="18"/>
                    </w:rPr>
                  </w:pP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94C5B">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8</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2FE14">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10</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9EF86">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1w</w:t>
                  </w: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6D29B">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A3F80">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2FE5F">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5596E">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49F69">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45FCE">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3C2173">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C1AC9">
                  <w:pPr>
                    <w:jc w:val="center"/>
                    <w:rPr>
                      <w:rFonts w:ascii="宋体" w:hAnsi="宋体" w:eastAsia="宋体" w:cs="宋体"/>
                      <w:color w:val="000000"/>
                      <w:sz w:val="18"/>
                      <w:szCs w:val="18"/>
                    </w:rPr>
                  </w:pPr>
                </w:p>
              </w:tc>
              <w:tc>
                <w:tcPr>
                  <w:tcW w:w="6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FC5AF9">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AE703">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D2EF0">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w:t>
                  </w:r>
                </w:p>
              </w:tc>
            </w:tr>
            <w:tr w14:paraId="6DEEFE11">
              <w:tblPrEx>
                <w:tblCellMar>
                  <w:top w:w="0" w:type="dxa"/>
                  <w:left w:w="108" w:type="dxa"/>
                  <w:bottom w:w="0" w:type="dxa"/>
                  <w:right w:w="108" w:type="dxa"/>
                </w:tblCellMar>
              </w:tblPrEx>
              <w:trPr>
                <w:trHeight w:val="276" w:hRule="atLeast"/>
                <w:jc w:val="center"/>
              </w:trPr>
              <w:tc>
                <w:tcPr>
                  <w:tcW w:w="470" w:type="dxa"/>
                  <w:gridSpan w:val="2"/>
                  <w:tcBorders>
                    <w:top w:val="nil"/>
                    <w:left w:val="single" w:color="000000" w:sz="4" w:space="0"/>
                    <w:bottom w:val="nil"/>
                    <w:right w:val="nil"/>
                  </w:tcBorders>
                  <w:shd w:val="clear" w:color="auto" w:fill="auto"/>
                  <w:vAlign w:val="center"/>
                </w:tcPr>
                <w:p w14:paraId="654089DC">
                  <w:pPr>
                    <w:jc w:val="center"/>
                    <w:rPr>
                      <w:rFonts w:ascii="宋体" w:hAnsi="宋体" w:eastAsia="宋体" w:cs="宋体"/>
                      <w:color w:val="000000"/>
                      <w:sz w:val="18"/>
                      <w:szCs w:val="18"/>
                    </w:rPr>
                  </w:pPr>
                </w:p>
              </w:tc>
              <w:tc>
                <w:tcPr>
                  <w:tcW w:w="471" w:type="dxa"/>
                  <w:tcBorders>
                    <w:top w:val="nil"/>
                    <w:left w:val="nil"/>
                    <w:bottom w:val="nil"/>
                    <w:right w:val="single" w:color="000000" w:sz="4" w:space="0"/>
                  </w:tcBorders>
                  <w:shd w:val="clear" w:color="auto" w:fill="auto"/>
                  <w:vAlign w:val="center"/>
                </w:tcPr>
                <w:p w14:paraId="77F5AAEA">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C5BA">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64</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027A6">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岗位实习</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DABD2">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780</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5910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26</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A6508">
                  <w:pPr>
                    <w:jc w:val="center"/>
                    <w:rPr>
                      <w:rFonts w:ascii="宋体" w:hAnsi="宋体" w:eastAsia="宋体" w:cs="宋体"/>
                      <w:color w:val="000000"/>
                      <w:sz w:val="18"/>
                      <w:szCs w:val="18"/>
                    </w:rPr>
                  </w:pP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2BE6C">
                  <w:pPr>
                    <w:jc w:val="center"/>
                    <w:rPr>
                      <w:rFonts w:ascii="宋体" w:hAnsi="宋体" w:eastAsia="宋体" w:cs="宋体"/>
                      <w:color w:val="000000"/>
                      <w:sz w:val="18"/>
                      <w:szCs w:val="18"/>
                    </w:rPr>
                  </w:pP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FF8E5">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780</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C43DC">
                  <w:pPr>
                    <w:jc w:val="center"/>
                    <w:rPr>
                      <w:rFonts w:ascii="宋体" w:hAnsi="宋体" w:eastAsia="宋体" w:cs="宋体"/>
                      <w:color w:val="000000"/>
                      <w:sz w:val="18"/>
                      <w:szCs w:val="18"/>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41128">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31B40">
                  <w:pPr>
                    <w:jc w:val="center"/>
                    <w:rPr>
                      <w:rFonts w:ascii="宋体" w:hAnsi="宋体" w:eastAsia="宋体" w:cs="宋体"/>
                      <w:color w:val="000000"/>
                      <w:sz w:val="18"/>
                      <w:szCs w:val="18"/>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9397F">
                  <w:pPr>
                    <w:jc w:val="center"/>
                    <w:rPr>
                      <w:rFonts w:ascii="宋体" w:hAnsi="宋体" w:eastAsia="宋体" w:cs="宋体"/>
                      <w:color w:val="000000"/>
                      <w:sz w:val="18"/>
                      <w:szCs w:val="18"/>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F8F69">
                  <w:pPr>
                    <w:jc w:val="center"/>
                    <w:rPr>
                      <w:rFonts w:ascii="宋体" w:hAnsi="宋体" w:eastAsia="宋体" w:cs="宋体"/>
                      <w:color w:val="000000"/>
                      <w:sz w:val="18"/>
                      <w:szCs w:val="18"/>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D738F">
                  <w:pPr>
                    <w:jc w:val="center"/>
                    <w:rPr>
                      <w:rFonts w:ascii="宋体" w:hAnsi="宋体" w:eastAsia="宋体" w:cs="宋体"/>
                      <w:color w:val="000000"/>
                      <w:sz w:val="18"/>
                      <w:szCs w:val="18"/>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6E235">
                  <w:pPr>
                    <w:jc w:val="center"/>
                    <w:rPr>
                      <w:rFonts w:ascii="宋体" w:hAnsi="宋体" w:eastAsia="宋体" w:cs="宋体"/>
                      <w:color w:val="000000"/>
                      <w:sz w:val="18"/>
                      <w:szCs w:val="18"/>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0DA02">
                  <w:pPr>
                    <w:jc w:val="center"/>
                    <w:rPr>
                      <w:rFonts w:ascii="宋体" w:hAnsi="宋体" w:eastAsia="宋体" w:cs="宋体"/>
                      <w:color w:val="000000"/>
                      <w:sz w:val="18"/>
                      <w:szCs w:val="18"/>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82E88">
                  <w:pPr>
                    <w:jc w:val="center"/>
                    <w:rPr>
                      <w:rFonts w:ascii="宋体" w:hAnsi="宋体" w:eastAsia="宋体" w:cs="宋体"/>
                      <w:color w:val="000000"/>
                      <w:sz w:val="18"/>
                      <w:szCs w:val="18"/>
                    </w:rPr>
                  </w:pPr>
                </w:p>
              </w:tc>
              <w:tc>
                <w:tcPr>
                  <w:tcW w:w="61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EDECE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6y</w:t>
                  </w: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6170F">
                  <w:pPr>
                    <w:jc w:val="center"/>
                    <w:rPr>
                      <w:rFonts w:ascii="宋体" w:hAnsi="宋体" w:eastAsia="宋体" w:cs="宋体"/>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F7CAD">
                  <w:pPr>
                    <w:jc w:val="center"/>
                    <w:rPr>
                      <w:rFonts w:ascii="宋体" w:hAnsi="宋体" w:eastAsia="宋体" w:cs="宋体"/>
                      <w:color w:val="000000"/>
                      <w:sz w:val="18"/>
                      <w:szCs w:val="18"/>
                    </w:rPr>
                  </w:pPr>
                </w:p>
              </w:tc>
            </w:tr>
            <w:tr w14:paraId="36FEFBB0">
              <w:tblPrEx>
                <w:tblCellMar>
                  <w:top w:w="0" w:type="dxa"/>
                  <w:left w:w="108" w:type="dxa"/>
                  <w:bottom w:w="0" w:type="dxa"/>
                  <w:right w:w="108" w:type="dxa"/>
                </w:tblCellMar>
              </w:tblPrEx>
              <w:trPr>
                <w:trHeight w:val="432" w:hRule="atLeast"/>
                <w:jc w:val="center"/>
              </w:trPr>
              <w:tc>
                <w:tcPr>
                  <w:tcW w:w="470" w:type="dxa"/>
                  <w:gridSpan w:val="2"/>
                  <w:tcBorders>
                    <w:top w:val="nil"/>
                    <w:left w:val="single" w:color="000000" w:sz="4" w:space="0"/>
                    <w:bottom w:val="nil"/>
                    <w:right w:val="nil"/>
                  </w:tcBorders>
                  <w:shd w:val="clear" w:color="auto" w:fill="auto"/>
                  <w:vAlign w:val="center"/>
                </w:tcPr>
                <w:p w14:paraId="0495D0E2">
                  <w:pPr>
                    <w:jc w:val="center"/>
                    <w:rPr>
                      <w:rFonts w:ascii="宋体" w:hAnsi="宋体" w:eastAsia="宋体" w:cs="宋体"/>
                      <w:color w:val="000000"/>
                      <w:sz w:val="18"/>
                      <w:szCs w:val="18"/>
                    </w:rPr>
                  </w:pPr>
                </w:p>
              </w:tc>
              <w:tc>
                <w:tcPr>
                  <w:tcW w:w="471" w:type="dxa"/>
                  <w:tcBorders>
                    <w:top w:val="nil"/>
                    <w:left w:val="nil"/>
                    <w:bottom w:val="nil"/>
                    <w:right w:val="single" w:color="000000" w:sz="4" w:space="0"/>
                  </w:tcBorders>
                  <w:shd w:val="clear" w:color="auto" w:fill="auto"/>
                  <w:vAlign w:val="center"/>
                </w:tcPr>
                <w:p w14:paraId="027B2793">
                  <w:pPr>
                    <w:jc w:val="center"/>
                    <w:rPr>
                      <w:rFonts w:ascii="宋体" w:hAnsi="宋体" w:eastAsia="宋体" w:cs="宋体"/>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9F21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65</w:t>
                  </w:r>
                </w:p>
              </w:tc>
              <w:tc>
                <w:tcPr>
                  <w:tcW w:w="2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94556">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毕业设计（论文）</w:t>
                  </w:r>
                </w:p>
              </w:tc>
              <w:tc>
                <w:tcPr>
                  <w:tcW w:w="5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5AAB7">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72</w:t>
                  </w:r>
                </w:p>
              </w:tc>
              <w:tc>
                <w:tcPr>
                  <w:tcW w:w="4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30A58">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09FF8">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5CA4E">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EAAC">
                  <w:pPr>
                    <w:jc w:val="cente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36</w:t>
                  </w:r>
                </w:p>
              </w:tc>
              <w:tc>
                <w:tcPr>
                  <w:tcW w:w="6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DCE9B">
                  <w:pPr>
                    <w:rPr>
                      <w:rFonts w:ascii="等线" w:hAnsi="等线" w:eastAsia="等线" w:cs="等线"/>
                      <w:color w:val="000000"/>
                    </w:rPr>
                  </w:pPr>
                </w:p>
              </w:tc>
              <w:tc>
                <w:tcPr>
                  <w:tcW w:w="5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BEF8A">
                  <w:pPr>
                    <w:rPr>
                      <w:rFonts w:ascii="等线" w:hAnsi="等线" w:eastAsia="等线" w:cs="等线"/>
                      <w:color w:val="000000"/>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17C2A">
                  <w:pPr>
                    <w:rPr>
                      <w:rFonts w:ascii="等线" w:hAnsi="等线" w:eastAsia="等线" w:cs="等线"/>
                      <w:color w:val="000000"/>
                    </w:rPr>
                  </w:pPr>
                </w:p>
              </w:tc>
              <w:tc>
                <w:tcPr>
                  <w:tcW w:w="5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53AD7">
                  <w:pPr>
                    <w:rPr>
                      <w:rFonts w:ascii="等线" w:hAnsi="等线" w:eastAsia="等线" w:cs="等线"/>
                      <w:color w:val="000000"/>
                    </w:rPr>
                  </w:pPr>
                </w:p>
              </w:tc>
              <w:tc>
                <w:tcPr>
                  <w:tcW w:w="5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F0CF1">
                  <w:pPr>
                    <w:rPr>
                      <w:rFonts w:ascii="等线" w:hAnsi="等线" w:eastAsia="等线" w:cs="等线"/>
                      <w:color w:val="000000"/>
                    </w:rPr>
                  </w:pPr>
                </w:p>
              </w:tc>
              <w:tc>
                <w:tcPr>
                  <w:tcW w:w="63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0544B">
                  <w:pPr>
                    <w:rPr>
                      <w:rFonts w:ascii="等线" w:hAnsi="等线" w:eastAsia="等线" w:cs="等线"/>
                      <w:color w:val="000000"/>
                    </w:rPr>
                  </w:pPr>
                </w:p>
              </w:tc>
              <w:tc>
                <w:tcPr>
                  <w:tcW w:w="5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E7373">
                  <w:pPr>
                    <w:rPr>
                      <w:rFonts w:ascii="等线" w:hAnsi="等线" w:eastAsia="等线" w:cs="等线"/>
                      <w:color w:val="000000"/>
                    </w:rPr>
                  </w:pPr>
                </w:p>
              </w:tc>
              <w:tc>
                <w:tcPr>
                  <w:tcW w:w="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FD115">
                  <w:pPr>
                    <w:rPr>
                      <w:rFonts w:ascii="等线" w:hAnsi="等线" w:eastAsia="等线" w:cs="等线"/>
                      <w:color w:val="000000"/>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4BEFC">
                  <w:pPr>
                    <w:jc w:val="center"/>
                    <w:rPr>
                      <w:rFonts w:ascii="宋体" w:hAnsi="宋体" w:eastAsia="宋体" w:cs="宋体"/>
                      <w:color w:val="000000"/>
                      <w:sz w:val="18"/>
                      <w:szCs w:val="18"/>
                    </w:rPr>
                  </w:pPr>
                </w:p>
              </w:tc>
              <w:tc>
                <w:tcPr>
                  <w:tcW w:w="61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FB7C5">
                  <w:pPr>
                    <w:rPr>
                      <w:rFonts w:ascii="等线" w:hAnsi="等线" w:eastAsia="等线" w:cs="等线"/>
                      <w:color w:val="000000"/>
                    </w:rPr>
                  </w:pPr>
                </w:p>
              </w:tc>
              <w:tc>
                <w:tcPr>
                  <w:tcW w:w="52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9BB75">
                  <w:pPr>
                    <w:rPr>
                      <w:rFonts w:ascii="等线" w:hAnsi="等线" w:eastAsia="等线" w:cs="等线"/>
                      <w:color w:val="000000"/>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96EDE">
                  <w:pPr>
                    <w:rPr>
                      <w:rFonts w:ascii="等线" w:hAnsi="等线" w:eastAsia="等线" w:cs="等线"/>
                      <w:color w:val="000000"/>
                    </w:rPr>
                  </w:pPr>
                </w:p>
              </w:tc>
            </w:tr>
            <w:tr w14:paraId="6146C26E">
              <w:tblPrEx>
                <w:tblCellMar>
                  <w:top w:w="0" w:type="dxa"/>
                  <w:left w:w="108" w:type="dxa"/>
                  <w:bottom w:w="0" w:type="dxa"/>
                  <w:right w:w="108" w:type="dxa"/>
                </w:tblCellMar>
              </w:tblPrEx>
              <w:trPr>
                <w:trHeight w:val="276" w:hRule="atLeast"/>
                <w:jc w:val="center"/>
              </w:trPr>
              <w:tc>
                <w:tcPr>
                  <w:tcW w:w="470" w:type="dxa"/>
                  <w:gridSpan w:val="2"/>
                  <w:tcBorders>
                    <w:top w:val="single" w:color="000000" w:sz="4" w:space="0"/>
                    <w:left w:val="single" w:color="000000" w:sz="4" w:space="0"/>
                    <w:bottom w:val="single" w:color="000000" w:sz="4" w:space="0"/>
                    <w:right w:val="single" w:color="000000" w:sz="4" w:space="0"/>
                  </w:tcBorders>
                  <w:shd w:val="clear" w:color="auto" w:fill="D9E1F2"/>
                  <w:vAlign w:val="center"/>
                </w:tcPr>
                <w:p w14:paraId="6F0A5BE3">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小计</w:t>
                  </w:r>
                </w:p>
              </w:tc>
              <w:tc>
                <w:tcPr>
                  <w:tcW w:w="471"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7B740235">
                  <w:pPr>
                    <w:jc w:val="center"/>
                    <w:rPr>
                      <w:rFonts w:ascii="宋体" w:hAnsi="宋体" w:eastAsia="宋体" w:cs="宋体"/>
                      <w:b/>
                      <w:bCs/>
                      <w:color w:val="000000"/>
                      <w:sz w:val="18"/>
                      <w:szCs w:val="18"/>
                    </w:rPr>
                  </w:pPr>
                </w:p>
              </w:tc>
              <w:tc>
                <w:tcPr>
                  <w:tcW w:w="521"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2C859714">
                  <w:pPr>
                    <w:jc w:val="center"/>
                    <w:rPr>
                      <w:rFonts w:ascii="宋体" w:hAnsi="宋体" w:eastAsia="宋体" w:cs="宋体"/>
                      <w:b/>
                      <w:bCs/>
                      <w:color w:val="000000"/>
                      <w:sz w:val="18"/>
                      <w:szCs w:val="18"/>
                    </w:rPr>
                  </w:pPr>
                </w:p>
              </w:tc>
              <w:tc>
                <w:tcPr>
                  <w:tcW w:w="2127"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1C019C6E">
                  <w:pPr>
                    <w:jc w:val="center"/>
                    <w:rPr>
                      <w:rFonts w:ascii="宋体" w:hAnsi="宋体" w:eastAsia="宋体" w:cs="宋体"/>
                      <w:b/>
                      <w:bCs/>
                      <w:color w:val="000000"/>
                      <w:sz w:val="18"/>
                      <w:szCs w:val="18"/>
                    </w:rPr>
                  </w:pPr>
                </w:p>
              </w:tc>
              <w:tc>
                <w:tcPr>
                  <w:tcW w:w="567"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04DAEA5A">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982</w:t>
                  </w:r>
                </w:p>
              </w:tc>
              <w:tc>
                <w:tcPr>
                  <w:tcW w:w="477"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5D5D2F9F">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33</w:t>
                  </w:r>
                </w:p>
              </w:tc>
              <w:tc>
                <w:tcPr>
                  <w:tcW w:w="586"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5AF8D80D">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4</w:t>
                  </w:r>
                </w:p>
              </w:tc>
              <w:tc>
                <w:tcPr>
                  <w:tcW w:w="573"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17855D24">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44</w:t>
                  </w:r>
                </w:p>
              </w:tc>
              <w:tc>
                <w:tcPr>
                  <w:tcW w:w="653"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7252EF90">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938</w:t>
                  </w:r>
                </w:p>
              </w:tc>
              <w:tc>
                <w:tcPr>
                  <w:tcW w:w="653"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72BD5E12">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0</w:t>
                  </w:r>
                </w:p>
              </w:tc>
              <w:tc>
                <w:tcPr>
                  <w:tcW w:w="547"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65CED4FE">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0</w:t>
                  </w:r>
                </w:p>
              </w:tc>
              <w:tc>
                <w:tcPr>
                  <w:tcW w:w="533"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4ACE093C">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0</w:t>
                  </w:r>
                </w:p>
              </w:tc>
              <w:tc>
                <w:tcPr>
                  <w:tcW w:w="533"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5D453164">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0</w:t>
                  </w:r>
                </w:p>
              </w:tc>
              <w:tc>
                <w:tcPr>
                  <w:tcW w:w="560"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4284A710">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0</w:t>
                  </w:r>
                </w:p>
              </w:tc>
              <w:tc>
                <w:tcPr>
                  <w:tcW w:w="639"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7609F391">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0</w:t>
                  </w:r>
                </w:p>
              </w:tc>
              <w:tc>
                <w:tcPr>
                  <w:tcW w:w="586"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76D1EAF2">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0</w:t>
                  </w:r>
                </w:p>
              </w:tc>
              <w:tc>
                <w:tcPr>
                  <w:tcW w:w="665"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6E2F4E0E">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0</w:t>
                  </w:r>
                </w:p>
              </w:tc>
              <w:tc>
                <w:tcPr>
                  <w:tcW w:w="480" w:type="dxa"/>
                  <w:tcBorders>
                    <w:top w:val="single" w:color="000000" w:sz="4" w:space="0"/>
                    <w:left w:val="single" w:color="000000" w:sz="4" w:space="0"/>
                    <w:bottom w:val="single" w:color="000000" w:sz="4" w:space="0"/>
                    <w:right w:val="single" w:color="000000" w:sz="4" w:space="0"/>
                  </w:tcBorders>
                  <w:shd w:val="clear" w:color="auto" w:fill="D9E1F2"/>
                  <w:vAlign w:val="center"/>
                </w:tcPr>
                <w:p w14:paraId="27D270F0">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4</w:t>
                  </w:r>
                </w:p>
              </w:tc>
              <w:tc>
                <w:tcPr>
                  <w:tcW w:w="613" w:type="dxa"/>
                  <w:gridSpan w:val="2"/>
                  <w:tcBorders>
                    <w:top w:val="single" w:color="000000" w:sz="4" w:space="0"/>
                    <w:left w:val="single" w:color="000000" w:sz="4" w:space="0"/>
                    <w:bottom w:val="single" w:color="000000" w:sz="4" w:space="0"/>
                    <w:right w:val="single" w:color="000000" w:sz="4" w:space="0"/>
                  </w:tcBorders>
                  <w:shd w:val="clear" w:color="auto" w:fill="D9E1F2"/>
                  <w:vAlign w:val="center"/>
                </w:tcPr>
                <w:p w14:paraId="4F4378C9">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0</w:t>
                  </w:r>
                </w:p>
              </w:tc>
              <w:tc>
                <w:tcPr>
                  <w:tcW w:w="521" w:type="dxa"/>
                  <w:tcBorders>
                    <w:top w:val="single" w:color="000000" w:sz="4" w:space="0"/>
                    <w:left w:val="single" w:color="000000" w:sz="4" w:space="0"/>
                    <w:bottom w:val="single" w:color="000000" w:sz="4" w:space="0"/>
                    <w:right w:val="single" w:color="000000" w:sz="4" w:space="0"/>
                  </w:tcBorders>
                  <w:shd w:val="clear" w:color="auto" w:fill="D9E1F2"/>
                  <w:noWrap/>
                  <w:vAlign w:val="center"/>
                </w:tcPr>
                <w:p w14:paraId="6A7D8970">
                  <w:pPr>
                    <w:jc w:val="center"/>
                    <w:rPr>
                      <w:rFonts w:ascii="宋体" w:hAnsi="宋体" w:eastAsia="宋体" w:cs="宋体"/>
                      <w:b/>
                      <w:bCs/>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D9E1F2"/>
                  <w:noWrap/>
                  <w:vAlign w:val="center"/>
                </w:tcPr>
                <w:p w14:paraId="6D0E8665">
                  <w:pPr>
                    <w:jc w:val="center"/>
                    <w:rPr>
                      <w:rFonts w:ascii="等线" w:hAnsi="等线" w:eastAsia="等线" w:cs="等线"/>
                      <w:b/>
                      <w:bCs/>
                      <w:color w:val="000000"/>
                    </w:rPr>
                  </w:pPr>
                </w:p>
              </w:tc>
            </w:tr>
            <w:tr w14:paraId="64647B7C">
              <w:tblPrEx>
                <w:tblCellMar>
                  <w:top w:w="0" w:type="dxa"/>
                  <w:left w:w="108" w:type="dxa"/>
                  <w:bottom w:w="0" w:type="dxa"/>
                  <w:right w:w="108" w:type="dxa"/>
                </w:tblCellMar>
              </w:tblPrEx>
              <w:trPr>
                <w:trHeight w:val="276" w:hRule="atLeast"/>
                <w:jc w:val="center"/>
              </w:trPr>
              <w:tc>
                <w:tcPr>
                  <w:tcW w:w="470" w:type="dxa"/>
                  <w:gridSpan w:val="2"/>
                  <w:tcBorders>
                    <w:top w:val="single" w:color="000000" w:sz="4" w:space="0"/>
                    <w:left w:val="single" w:color="000000" w:sz="4" w:space="0"/>
                    <w:bottom w:val="single" w:color="000000" w:sz="4" w:space="0"/>
                    <w:right w:val="nil"/>
                  </w:tcBorders>
                  <w:shd w:val="clear" w:color="auto" w:fill="B4C6E7"/>
                  <w:vAlign w:val="center"/>
                </w:tcPr>
                <w:p w14:paraId="729DEBF8">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合计</w:t>
                  </w:r>
                </w:p>
              </w:tc>
              <w:tc>
                <w:tcPr>
                  <w:tcW w:w="471" w:type="dxa"/>
                  <w:tcBorders>
                    <w:top w:val="single" w:color="000000" w:sz="4" w:space="0"/>
                    <w:left w:val="nil"/>
                    <w:bottom w:val="single" w:color="000000" w:sz="4" w:space="0"/>
                    <w:right w:val="nil"/>
                  </w:tcBorders>
                  <w:shd w:val="clear" w:color="auto" w:fill="B4C6E7"/>
                  <w:vAlign w:val="center"/>
                </w:tcPr>
                <w:p w14:paraId="2F728C85">
                  <w:pPr>
                    <w:jc w:val="center"/>
                    <w:rPr>
                      <w:rFonts w:ascii="宋体" w:hAnsi="宋体" w:eastAsia="宋体" w:cs="宋体"/>
                      <w:b/>
                      <w:bCs/>
                      <w:color w:val="000000"/>
                      <w:sz w:val="18"/>
                      <w:szCs w:val="18"/>
                    </w:rPr>
                  </w:pPr>
                </w:p>
              </w:tc>
              <w:tc>
                <w:tcPr>
                  <w:tcW w:w="521" w:type="dxa"/>
                  <w:tcBorders>
                    <w:top w:val="single" w:color="000000" w:sz="4" w:space="0"/>
                    <w:left w:val="nil"/>
                    <w:bottom w:val="single" w:color="000000" w:sz="4" w:space="0"/>
                    <w:right w:val="nil"/>
                  </w:tcBorders>
                  <w:shd w:val="clear" w:color="auto" w:fill="B4C6E7"/>
                  <w:vAlign w:val="center"/>
                </w:tcPr>
                <w:p w14:paraId="588594DE">
                  <w:pPr>
                    <w:jc w:val="center"/>
                    <w:rPr>
                      <w:rFonts w:ascii="宋体" w:hAnsi="宋体" w:eastAsia="宋体" w:cs="宋体"/>
                      <w:b/>
                      <w:bCs/>
                      <w:color w:val="000000"/>
                      <w:sz w:val="18"/>
                      <w:szCs w:val="18"/>
                    </w:rPr>
                  </w:pPr>
                </w:p>
              </w:tc>
              <w:tc>
                <w:tcPr>
                  <w:tcW w:w="2127" w:type="dxa"/>
                  <w:tcBorders>
                    <w:top w:val="single" w:color="000000" w:sz="4" w:space="0"/>
                    <w:left w:val="nil"/>
                    <w:bottom w:val="single" w:color="000000" w:sz="4" w:space="0"/>
                    <w:right w:val="single" w:color="000000" w:sz="4" w:space="0"/>
                  </w:tcBorders>
                  <w:shd w:val="clear" w:color="auto" w:fill="B4C6E7"/>
                  <w:vAlign w:val="center"/>
                </w:tcPr>
                <w:p w14:paraId="17ACFE97">
                  <w:pPr>
                    <w:jc w:val="center"/>
                    <w:rPr>
                      <w:rFonts w:ascii="宋体" w:hAnsi="宋体" w:eastAsia="宋体" w:cs="宋体"/>
                      <w:b/>
                      <w:bCs/>
                      <w:color w:val="000000"/>
                      <w:sz w:val="18"/>
                      <w:szCs w:val="18"/>
                    </w:rPr>
                  </w:pPr>
                </w:p>
              </w:tc>
              <w:tc>
                <w:tcPr>
                  <w:tcW w:w="567"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62AF9695">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5536</w:t>
                  </w:r>
                </w:p>
              </w:tc>
              <w:tc>
                <w:tcPr>
                  <w:tcW w:w="477"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0530C705">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280</w:t>
                  </w:r>
                </w:p>
              </w:tc>
              <w:tc>
                <w:tcPr>
                  <w:tcW w:w="586"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3B4FCC14">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195</w:t>
                  </w:r>
                </w:p>
              </w:tc>
              <w:tc>
                <w:tcPr>
                  <w:tcW w:w="573"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7F54FD1E">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2746</w:t>
                  </w:r>
                </w:p>
              </w:tc>
              <w:tc>
                <w:tcPr>
                  <w:tcW w:w="653"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7A7F70A4">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2554</w:t>
                  </w:r>
                </w:p>
              </w:tc>
              <w:tc>
                <w:tcPr>
                  <w:tcW w:w="653"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06113074">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28</w:t>
                  </w:r>
                </w:p>
              </w:tc>
              <w:tc>
                <w:tcPr>
                  <w:tcW w:w="547"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5C7C82C5">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28</w:t>
                  </w:r>
                </w:p>
              </w:tc>
              <w:tc>
                <w:tcPr>
                  <w:tcW w:w="533"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2FB194FC">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28</w:t>
                  </w:r>
                </w:p>
              </w:tc>
              <w:tc>
                <w:tcPr>
                  <w:tcW w:w="533"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4AAD6415">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27</w:t>
                  </w:r>
                </w:p>
              </w:tc>
              <w:tc>
                <w:tcPr>
                  <w:tcW w:w="560"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78E55FFA">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28</w:t>
                  </w:r>
                </w:p>
              </w:tc>
              <w:tc>
                <w:tcPr>
                  <w:tcW w:w="639"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129FFEAC">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26</w:t>
                  </w:r>
                </w:p>
              </w:tc>
              <w:tc>
                <w:tcPr>
                  <w:tcW w:w="586"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1EF9C1E9">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29</w:t>
                  </w:r>
                </w:p>
              </w:tc>
              <w:tc>
                <w:tcPr>
                  <w:tcW w:w="665"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6E90CEAD">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30</w:t>
                  </w:r>
                </w:p>
              </w:tc>
              <w:tc>
                <w:tcPr>
                  <w:tcW w:w="480" w:type="dxa"/>
                  <w:tcBorders>
                    <w:top w:val="single" w:color="000000" w:sz="4" w:space="0"/>
                    <w:left w:val="single" w:color="000000" w:sz="4" w:space="0"/>
                    <w:bottom w:val="single" w:color="000000" w:sz="4" w:space="0"/>
                    <w:right w:val="single" w:color="000000" w:sz="4" w:space="0"/>
                  </w:tcBorders>
                  <w:shd w:val="clear" w:color="auto" w:fill="B4C6E7"/>
                  <w:vAlign w:val="center"/>
                </w:tcPr>
                <w:p w14:paraId="4455A42E">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28</w:t>
                  </w:r>
                </w:p>
              </w:tc>
              <w:tc>
                <w:tcPr>
                  <w:tcW w:w="613" w:type="dxa"/>
                  <w:gridSpan w:val="2"/>
                  <w:tcBorders>
                    <w:top w:val="single" w:color="000000" w:sz="4" w:space="0"/>
                    <w:left w:val="single" w:color="000000" w:sz="4" w:space="0"/>
                    <w:bottom w:val="single" w:color="000000" w:sz="4" w:space="0"/>
                    <w:right w:val="single" w:color="000000" w:sz="4" w:space="0"/>
                  </w:tcBorders>
                  <w:shd w:val="clear" w:color="auto" w:fill="B4C6E7"/>
                  <w:vAlign w:val="center"/>
                </w:tcPr>
                <w:p w14:paraId="248850C1">
                  <w:pPr>
                    <w:jc w:val="center"/>
                    <w:textAlignment w:val="center"/>
                    <w:rPr>
                      <w:rFonts w:ascii="宋体" w:hAnsi="宋体" w:eastAsia="宋体" w:cs="宋体"/>
                      <w:b/>
                      <w:bCs/>
                      <w:color w:val="000000"/>
                      <w:sz w:val="18"/>
                      <w:szCs w:val="18"/>
                    </w:rPr>
                  </w:pPr>
                  <w:r>
                    <w:rPr>
                      <w:rFonts w:hint="eastAsia" w:ascii="宋体" w:hAnsi="宋体" w:eastAsia="宋体" w:cs="宋体"/>
                      <w:b/>
                      <w:bCs/>
                      <w:color w:val="000000"/>
                      <w:sz w:val="18"/>
                      <w:szCs w:val="18"/>
                      <w:lang w:bidi="ar"/>
                    </w:rPr>
                    <w:t>0</w:t>
                  </w:r>
                </w:p>
              </w:tc>
              <w:tc>
                <w:tcPr>
                  <w:tcW w:w="521" w:type="dxa"/>
                  <w:tcBorders>
                    <w:top w:val="single" w:color="000000" w:sz="4" w:space="0"/>
                    <w:left w:val="single" w:color="000000" w:sz="4" w:space="0"/>
                    <w:bottom w:val="single" w:color="000000" w:sz="4" w:space="0"/>
                    <w:right w:val="single" w:color="000000" w:sz="4" w:space="0"/>
                  </w:tcBorders>
                  <w:shd w:val="clear" w:color="auto" w:fill="B4C6E7"/>
                  <w:noWrap/>
                  <w:vAlign w:val="center"/>
                </w:tcPr>
                <w:p w14:paraId="1C8EC000">
                  <w:pPr>
                    <w:jc w:val="center"/>
                    <w:rPr>
                      <w:rFonts w:ascii="宋体" w:hAnsi="宋体" w:eastAsia="宋体" w:cs="宋体"/>
                      <w:b/>
                      <w:bCs/>
                      <w:color w:val="000000"/>
                      <w:sz w:val="18"/>
                      <w:szCs w:val="18"/>
                    </w:rPr>
                  </w:pPr>
                </w:p>
              </w:tc>
              <w:tc>
                <w:tcPr>
                  <w:tcW w:w="705" w:type="dxa"/>
                  <w:tcBorders>
                    <w:top w:val="single" w:color="000000" w:sz="4" w:space="0"/>
                    <w:left w:val="single" w:color="000000" w:sz="4" w:space="0"/>
                    <w:bottom w:val="single" w:color="000000" w:sz="4" w:space="0"/>
                    <w:right w:val="single" w:color="000000" w:sz="4" w:space="0"/>
                  </w:tcBorders>
                  <w:shd w:val="clear" w:color="auto" w:fill="B4C6E7"/>
                  <w:noWrap/>
                  <w:vAlign w:val="center"/>
                </w:tcPr>
                <w:p w14:paraId="2B688935">
                  <w:pPr>
                    <w:jc w:val="center"/>
                    <w:rPr>
                      <w:rFonts w:ascii="宋体" w:hAnsi="宋体" w:eastAsia="宋体" w:cs="宋体"/>
                      <w:b/>
                      <w:bCs/>
                      <w:color w:val="000000"/>
                      <w:sz w:val="18"/>
                      <w:szCs w:val="18"/>
                    </w:rPr>
                  </w:pPr>
                </w:p>
              </w:tc>
            </w:tr>
            <w:tr w14:paraId="6B6FA7C8">
              <w:tblPrEx>
                <w:tblCellMar>
                  <w:top w:w="0" w:type="dxa"/>
                  <w:left w:w="108" w:type="dxa"/>
                  <w:bottom w:w="0" w:type="dxa"/>
                  <w:right w:w="108" w:type="dxa"/>
                </w:tblCellMar>
              </w:tblPrEx>
              <w:trPr>
                <w:trHeight w:val="540" w:hRule="atLeast"/>
                <w:jc w:val="center"/>
              </w:trPr>
              <w:tc>
                <w:tcPr>
                  <w:tcW w:w="13480" w:type="dxa"/>
                  <w:gridSpan w:val="23"/>
                  <w:tcBorders>
                    <w:top w:val="single" w:color="000000" w:sz="4" w:space="0"/>
                    <w:left w:val="single" w:color="000000" w:sz="4" w:space="0"/>
                    <w:bottom w:val="single" w:color="000000" w:sz="4" w:space="0"/>
                    <w:right w:val="single" w:color="000000" w:sz="4" w:space="0"/>
                  </w:tcBorders>
                  <w:shd w:val="clear" w:color="auto" w:fill="auto"/>
                  <w:vAlign w:val="center"/>
                </w:tcPr>
                <w:p w14:paraId="7DE23DF4">
                  <w:pPr>
                    <w:textAlignment w:val="center"/>
                    <w:rPr>
                      <w:rFonts w:ascii="宋体" w:hAnsi="宋体" w:eastAsia="宋体" w:cs="宋体"/>
                      <w:color w:val="000000"/>
                      <w:sz w:val="18"/>
                      <w:szCs w:val="18"/>
                    </w:rPr>
                  </w:pPr>
                  <w:r>
                    <w:rPr>
                      <w:rFonts w:hint="eastAsia" w:ascii="宋体" w:hAnsi="宋体" w:eastAsia="宋体" w:cs="宋体"/>
                      <w:color w:val="000000"/>
                      <w:sz w:val="18"/>
                      <w:szCs w:val="18"/>
                      <w:lang w:bidi="ar"/>
                    </w:rPr>
                    <w:t>说明：每学期按照18周计算，周学时为24-26学。</w:t>
                  </w:r>
                </w:p>
              </w:tc>
            </w:tr>
            <w:tr w14:paraId="3CA5FFA2">
              <w:tblPrEx>
                <w:tblCellMar>
                  <w:top w:w="0" w:type="dxa"/>
                  <w:left w:w="108" w:type="dxa"/>
                  <w:bottom w:w="0" w:type="dxa"/>
                  <w:right w:w="108" w:type="dxa"/>
                </w:tblCellMar>
              </w:tblPrEx>
              <w:trPr>
                <w:trHeight w:val="1590" w:hRule="atLeast"/>
                <w:jc w:val="center"/>
              </w:trPr>
              <w:tc>
                <w:tcPr>
                  <w:tcW w:w="13480" w:type="dxa"/>
                  <w:gridSpan w:val="23"/>
                  <w:tcBorders>
                    <w:top w:val="single" w:color="000000" w:sz="4" w:space="0"/>
                    <w:left w:val="single" w:color="000000" w:sz="4" w:space="0"/>
                    <w:bottom w:val="single" w:color="000000" w:sz="4" w:space="0"/>
                    <w:right w:val="single" w:color="000000" w:sz="4" w:space="0"/>
                  </w:tcBorders>
                  <w:shd w:val="clear" w:color="auto" w:fill="auto"/>
                  <w:vAlign w:val="center"/>
                </w:tcPr>
                <w:p w14:paraId="3584A475">
                  <w:pPr>
                    <w:textAlignment w:val="center"/>
                    <w:rPr>
                      <w:rFonts w:ascii="等线" w:hAnsi="等线" w:eastAsia="等线" w:cs="等线"/>
                      <w:color w:val="000000"/>
                    </w:rPr>
                  </w:pPr>
                  <w:r>
                    <w:rPr>
                      <w:rFonts w:hint="eastAsia" w:ascii="等线" w:hAnsi="等线" w:eastAsia="等线" w:cs="等线"/>
                      <w:b/>
                      <w:bCs/>
                      <w:color w:val="000000"/>
                      <w:lang w:bidi="ar"/>
                    </w:rPr>
                    <w:t>学分核算办法：</w:t>
                  </w:r>
                  <w:r>
                    <w:rPr>
                      <w:rStyle w:val="72"/>
                      <w:rFonts w:hint="default"/>
                      <w:lang w:bidi="ar"/>
                    </w:rPr>
                    <w:t xml:space="preserve">学分计算以0.5为最小单位（基元单位）。每门课程一般以每18学时计1学分。按照成绩核算学分，学分进制按照“二舍八入三七作五”原则。独立设置的课程设计、实习、实训每周计1学分。校内专项实训、工学交替实训、毕业设计、顶岗实习等每周计 0.5 学分。拓展活动项目累计18学时计1学分。各类获奖、技能定级按级别申请奖励学分。 </w:t>
                  </w:r>
                </w:p>
              </w:tc>
            </w:tr>
          </w:tbl>
          <w:p w14:paraId="474CCF9B">
            <w:pPr>
              <w:spacing w:after="156" w:afterLines="50"/>
              <w:rPr>
                <w:bCs/>
                <w:sz w:val="30"/>
              </w:rPr>
            </w:pPr>
          </w:p>
          <w:p w14:paraId="68C53A68">
            <w:pPr>
              <w:spacing w:after="0" w:line="240" w:lineRule="auto"/>
              <w:rPr>
                <w:rFonts w:ascii="宋体" w:hAnsi="宋体" w:eastAsia="宋体" w:cs="宋体"/>
                <w:color w:val="000000"/>
              </w:rPr>
            </w:pPr>
          </w:p>
          <w:p w14:paraId="715EA476">
            <w:pPr>
              <w:spacing w:after="0" w:line="240" w:lineRule="auto"/>
              <w:rPr>
                <w:rFonts w:ascii="宋体" w:hAnsi="宋体" w:eastAsia="宋体" w:cs="宋体"/>
                <w:color w:val="000000"/>
              </w:rPr>
            </w:pPr>
          </w:p>
          <w:p w14:paraId="56D8264C">
            <w:pPr>
              <w:spacing w:after="0" w:line="240" w:lineRule="auto"/>
              <w:rPr>
                <w:rFonts w:ascii="宋体" w:hAnsi="宋体" w:eastAsia="宋体" w:cs="宋体"/>
                <w:color w:val="000000"/>
              </w:rPr>
            </w:pPr>
          </w:p>
        </w:tc>
      </w:tr>
    </w:tbl>
    <w:p w14:paraId="29F789DD">
      <w:pPr>
        <w:pStyle w:val="3"/>
        <w:ind w:left="0" w:firstLine="0" w:firstLineChars="0"/>
        <w:rPr>
          <w:rFonts w:asciiTheme="minorEastAsia" w:hAnsiTheme="minorEastAsia" w:eastAsiaTheme="minorEastAsia"/>
          <w:b w:val="0"/>
          <w:bCs w:val="0"/>
          <w:szCs w:val="24"/>
        </w:rPr>
        <w:sectPr>
          <w:footerReference r:id="rId7" w:type="default"/>
          <w:pgSz w:w="16838" w:h="11906" w:orient="landscape"/>
          <w:pgMar w:top="1417" w:right="1440" w:bottom="1417" w:left="1440" w:header="851" w:footer="992" w:gutter="0"/>
          <w:cols w:space="0" w:num="1"/>
          <w:docGrid w:type="lines" w:linePitch="312" w:charSpace="0"/>
        </w:sectPr>
      </w:pPr>
    </w:p>
    <w:p w14:paraId="1870B6FC"/>
    <w:sectPr>
      <w:pgSz w:w="11906" w:h="16838"/>
      <w:pgMar w:top="1440" w:right="1417" w:bottom="1440" w:left="1417" w:header="851" w:footer="992" w:gutter="0"/>
      <w:cols w:space="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B1C873E-3839-4B17-8478-61859BCA693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313FE3FB-40A7-4F38-A9D3-FA4E9D144709}"/>
  </w:font>
  <w:font w:name="Calibri Light">
    <w:panose1 w:val="020F0302020204030204"/>
    <w:charset w:val="00"/>
    <w:family w:val="swiss"/>
    <w:pitch w:val="default"/>
    <w:sig w:usb0="E4002EFF" w:usb1="C200247B" w:usb2="00000009" w:usb3="00000000" w:csb0="200001FF" w:csb1="00000000"/>
    <w:embedRegular r:id="rId3" w:fontKey="{57406C73-D91C-407F-AD2D-2FD45B0378D1}"/>
  </w:font>
  <w:font w:name="Courier New">
    <w:panose1 w:val="02070309020205020404"/>
    <w:charset w:val="00"/>
    <w:family w:val="modern"/>
    <w:pitch w:val="default"/>
    <w:sig w:usb0="E0002EFF" w:usb1="C0007843" w:usb2="00000009" w:usb3="00000000" w:csb0="400001FF" w:csb1="FFFF0000"/>
    <w:embedRegular r:id="rId4" w:fontKey="{B0A98EF2-7AD6-4ADB-A6FF-DFF3F0E94637}"/>
  </w:font>
  <w:font w:name="仿宋">
    <w:panose1 w:val="02010609060101010101"/>
    <w:charset w:val="86"/>
    <w:family w:val="modern"/>
    <w:pitch w:val="default"/>
    <w:sig w:usb0="800002BF" w:usb1="38CF7CFA" w:usb2="00000016" w:usb3="00000000" w:csb0="00040001" w:csb1="00000000"/>
    <w:embedRegular r:id="rId5" w:fontKey="{E5578E75-8636-4925-BD7F-E01117D1B1C4}"/>
  </w:font>
  <w:font w:name="微软雅黑">
    <w:panose1 w:val="020B0503020204020204"/>
    <w:charset w:val="86"/>
    <w:family w:val="swiss"/>
    <w:pitch w:val="default"/>
    <w:sig w:usb0="80000287" w:usb1="2ACF3C50" w:usb2="00000016" w:usb3="00000000" w:csb0="0004001F" w:csb1="00000000"/>
    <w:embedRegular r:id="rId6" w:fontKey="{0ED8CFB7-E021-4C30-887A-7A4DAE1CE329}"/>
  </w:font>
  <w:font w:name="等线">
    <w:panose1 w:val="02010600030101010101"/>
    <w:charset w:val="86"/>
    <w:family w:val="auto"/>
    <w:pitch w:val="default"/>
    <w:sig w:usb0="A00002BF" w:usb1="38CF7CFA" w:usb2="00000016" w:usb3="00000000" w:csb0="0004000F" w:csb1="00000000"/>
    <w:embedRegular r:id="rId7" w:fontKey="{59842357-E52F-488C-A177-46FBBDEB133C}"/>
  </w:font>
  <w:font w:name="楷体_GB2312">
    <w:altName w:val="楷体"/>
    <w:panose1 w:val="00000000000000000000"/>
    <w:charset w:val="86"/>
    <w:family w:val="modern"/>
    <w:pitch w:val="default"/>
    <w:sig w:usb0="00000000" w:usb1="00000000" w:usb2="00000000" w:usb3="00000000" w:csb0="00040000" w:csb1="00000000"/>
    <w:embedRegular r:id="rId8" w:fontKey="{F2DEF3CB-AE7C-43C9-8F9C-248BEA1135A2}"/>
  </w:font>
  <w:font w:name="楷体">
    <w:panose1 w:val="02010609060101010101"/>
    <w:charset w:val="86"/>
    <w:family w:val="modern"/>
    <w:pitch w:val="default"/>
    <w:sig w:usb0="800002BF" w:usb1="38CF7CFA" w:usb2="00000016" w:usb3="00000000" w:csb0="00040001" w:csb1="00000000"/>
    <w:embedRegular r:id="rId9" w:fontKey="{E5E3225E-611D-481A-B079-62386FF0979E}"/>
  </w:font>
  <w:font w:name="___WRD_EMBED_SUB_48">
    <w:panose1 w:val="02010609030101010101"/>
    <w:charset w:val="86"/>
    <w:family w:val="modern"/>
    <w:pitch w:val="default"/>
    <w:sig w:usb0="00000001" w:usb1="080E0000" w:usb2="00000000" w:usb3="00000000" w:csb0="00040000" w:csb1="00000000"/>
    <w:embedRegular r:id="rId10" w:fontKey="{988763F4-2F35-4C2C-8FA5-FBDDCD6FEFFF}"/>
  </w:font>
  <w:font w:name="Cambria">
    <w:panose1 w:val="02040503050406030204"/>
    <w:charset w:val="00"/>
    <w:family w:val="roman"/>
    <w:pitch w:val="default"/>
    <w:sig w:usb0="E00006FF" w:usb1="420024FF" w:usb2="02000000" w:usb3="00000000" w:csb0="2000019F" w:csb1="00000000"/>
    <w:embedRegular r:id="rId11" w:fontKey="{C9E46BD9-A42F-4859-9350-FD6FD252876E}"/>
  </w:font>
  <w:font w:name="Segoe UI">
    <w:panose1 w:val="020B0502040204020203"/>
    <w:charset w:val="00"/>
    <w:family w:val="swiss"/>
    <w:pitch w:val="default"/>
    <w:sig w:usb0="E4002EFF" w:usb1="C000E47F" w:usb2="00000009" w:usb3="00000000" w:csb0="200001FF" w:csb1="00000000"/>
    <w:embedRegular r:id="rId12" w:fontKey="{D74D051B-ADC3-4162-8B96-A4803BC13200}"/>
  </w:font>
  <w:font w:name="宋体+FPEF">
    <w:altName w:val="宋体"/>
    <w:panose1 w:val="00000000000000000000"/>
    <w:charset w:val="86"/>
    <w:family w:val="auto"/>
    <w:pitch w:val="default"/>
    <w:sig w:usb0="00000000" w:usb1="00000000" w:usb2="00000010" w:usb3="00000000" w:csb0="00040000" w:csb1="00000000"/>
    <w:embedRegular r:id="rId13" w:fontKey="{49B9E793-F5CA-4C5E-BBDA-68C44EE5BA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448F1">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CA450">
    <w:pPr>
      <w:pStyle w:val="7"/>
      <w:jc w:val="center"/>
    </w:pPr>
    <w:r>
      <w:fldChar w:fldCharType="begin"/>
    </w:r>
    <w:r>
      <w:instrText xml:space="preserve">PAGE   \* MERGEFORMAT</w:instrText>
    </w:r>
    <w:r>
      <w:fldChar w:fldCharType="separate"/>
    </w:r>
    <w:r>
      <w:rPr>
        <w:lang w:val="zh-CN"/>
      </w:rPr>
      <w:t>1</w:t>
    </w:r>
    <w:r>
      <w:rPr>
        <w:lang w:val="zh-CN"/>
      </w:rPr>
      <w:fldChar w:fldCharType="end"/>
    </w:r>
  </w:p>
  <w:p w14:paraId="3FD84F8E">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7655874"/>
    </w:sdtPr>
    <w:sdtContent>
      <w:p w14:paraId="48A10D27">
        <w:pPr>
          <w:pStyle w:val="7"/>
          <w:jc w:val="center"/>
        </w:pPr>
        <w:r>
          <w:fldChar w:fldCharType="begin"/>
        </w:r>
        <w:r>
          <w:instrText xml:space="preserve">PAGE   \* MERGEFORMAT</w:instrText>
        </w:r>
        <w:r>
          <w:fldChar w:fldCharType="separate"/>
        </w:r>
        <w:r>
          <w:rPr>
            <w:lang w:val="zh-CN"/>
          </w:rPr>
          <w:t>23</w:t>
        </w:r>
        <w:r>
          <w:fldChar w:fldCharType="end"/>
        </w:r>
      </w:p>
    </w:sdtContent>
  </w:sdt>
  <w:p w14:paraId="6582701A">
    <w:pPr>
      <w:pStyle w:val="4"/>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RmMmVlMWE5NTI0YjUzMzc5OWExM2MyMDQwYmZiZDkifQ=="/>
  </w:docVars>
  <w:rsids>
    <w:rsidRoot w:val="00B757DA"/>
    <w:rsid w:val="00002592"/>
    <w:rsid w:val="00042ED0"/>
    <w:rsid w:val="000E7023"/>
    <w:rsid w:val="0010165F"/>
    <w:rsid w:val="0011510A"/>
    <w:rsid w:val="00120287"/>
    <w:rsid w:val="001251E4"/>
    <w:rsid w:val="001A6C42"/>
    <w:rsid w:val="001A78BF"/>
    <w:rsid w:val="001E0187"/>
    <w:rsid w:val="00253730"/>
    <w:rsid w:val="00253C01"/>
    <w:rsid w:val="002717EF"/>
    <w:rsid w:val="002A1A19"/>
    <w:rsid w:val="002A7613"/>
    <w:rsid w:val="002F53DD"/>
    <w:rsid w:val="00366DD2"/>
    <w:rsid w:val="003D2D20"/>
    <w:rsid w:val="00443823"/>
    <w:rsid w:val="00473BF0"/>
    <w:rsid w:val="00475793"/>
    <w:rsid w:val="004B62E1"/>
    <w:rsid w:val="00500FAB"/>
    <w:rsid w:val="005208A8"/>
    <w:rsid w:val="005473C1"/>
    <w:rsid w:val="00566F9C"/>
    <w:rsid w:val="005676B0"/>
    <w:rsid w:val="005B1114"/>
    <w:rsid w:val="005C4A6A"/>
    <w:rsid w:val="0060717D"/>
    <w:rsid w:val="0063540F"/>
    <w:rsid w:val="006953C5"/>
    <w:rsid w:val="006A3469"/>
    <w:rsid w:val="006B15E6"/>
    <w:rsid w:val="00752929"/>
    <w:rsid w:val="0075625C"/>
    <w:rsid w:val="00786ACD"/>
    <w:rsid w:val="0079175F"/>
    <w:rsid w:val="00794315"/>
    <w:rsid w:val="007965E4"/>
    <w:rsid w:val="007B19DE"/>
    <w:rsid w:val="007E7CF1"/>
    <w:rsid w:val="007F2521"/>
    <w:rsid w:val="0080003B"/>
    <w:rsid w:val="00820A18"/>
    <w:rsid w:val="00822668"/>
    <w:rsid w:val="00955DB1"/>
    <w:rsid w:val="009E20A1"/>
    <w:rsid w:val="009F4B93"/>
    <w:rsid w:val="00A1453F"/>
    <w:rsid w:val="00AB745B"/>
    <w:rsid w:val="00AF18A9"/>
    <w:rsid w:val="00B10820"/>
    <w:rsid w:val="00B21E26"/>
    <w:rsid w:val="00B40A5A"/>
    <w:rsid w:val="00B609AB"/>
    <w:rsid w:val="00B757DA"/>
    <w:rsid w:val="00BD16C2"/>
    <w:rsid w:val="00C02477"/>
    <w:rsid w:val="00C37711"/>
    <w:rsid w:val="00C54082"/>
    <w:rsid w:val="00CB202F"/>
    <w:rsid w:val="00CC1051"/>
    <w:rsid w:val="00CF2D8D"/>
    <w:rsid w:val="00D04614"/>
    <w:rsid w:val="00D30E26"/>
    <w:rsid w:val="00DA45BB"/>
    <w:rsid w:val="00E02122"/>
    <w:rsid w:val="00E67634"/>
    <w:rsid w:val="00E70F0D"/>
    <w:rsid w:val="00E747E7"/>
    <w:rsid w:val="00EE3F16"/>
    <w:rsid w:val="00F55629"/>
    <w:rsid w:val="00FB296E"/>
    <w:rsid w:val="00FB5B76"/>
    <w:rsid w:val="04C55991"/>
    <w:rsid w:val="04F954CB"/>
    <w:rsid w:val="05C218E9"/>
    <w:rsid w:val="0756129D"/>
    <w:rsid w:val="07712770"/>
    <w:rsid w:val="0AF46545"/>
    <w:rsid w:val="0BAA5635"/>
    <w:rsid w:val="0C380891"/>
    <w:rsid w:val="0C392C29"/>
    <w:rsid w:val="0D492ACD"/>
    <w:rsid w:val="0E787314"/>
    <w:rsid w:val="0F087DC0"/>
    <w:rsid w:val="0F134026"/>
    <w:rsid w:val="113959EA"/>
    <w:rsid w:val="11544E49"/>
    <w:rsid w:val="127B4BE8"/>
    <w:rsid w:val="12EB6E0F"/>
    <w:rsid w:val="13D4430E"/>
    <w:rsid w:val="15D04133"/>
    <w:rsid w:val="16B50D79"/>
    <w:rsid w:val="1711641B"/>
    <w:rsid w:val="187E1393"/>
    <w:rsid w:val="18D57CCE"/>
    <w:rsid w:val="18D859D7"/>
    <w:rsid w:val="1AC75042"/>
    <w:rsid w:val="1B29327D"/>
    <w:rsid w:val="1B9E2247"/>
    <w:rsid w:val="1C8B41B1"/>
    <w:rsid w:val="1D293A9D"/>
    <w:rsid w:val="22A20C07"/>
    <w:rsid w:val="23192B06"/>
    <w:rsid w:val="23E10F23"/>
    <w:rsid w:val="24747929"/>
    <w:rsid w:val="24943EB8"/>
    <w:rsid w:val="25674B3B"/>
    <w:rsid w:val="256A564D"/>
    <w:rsid w:val="25E50202"/>
    <w:rsid w:val="25F3318F"/>
    <w:rsid w:val="26307DA2"/>
    <w:rsid w:val="286A413C"/>
    <w:rsid w:val="295A3925"/>
    <w:rsid w:val="29977D32"/>
    <w:rsid w:val="2A910D54"/>
    <w:rsid w:val="2B3C744D"/>
    <w:rsid w:val="2BEB4E86"/>
    <w:rsid w:val="2C861EB2"/>
    <w:rsid w:val="2F2C41CE"/>
    <w:rsid w:val="2F800AD2"/>
    <w:rsid w:val="2FC04E15"/>
    <w:rsid w:val="304E6686"/>
    <w:rsid w:val="322B1707"/>
    <w:rsid w:val="32865934"/>
    <w:rsid w:val="32BF2D52"/>
    <w:rsid w:val="338742E7"/>
    <w:rsid w:val="33EE68D6"/>
    <w:rsid w:val="34552457"/>
    <w:rsid w:val="350E7C28"/>
    <w:rsid w:val="363C248D"/>
    <w:rsid w:val="3649636E"/>
    <w:rsid w:val="36C3158B"/>
    <w:rsid w:val="36C374C5"/>
    <w:rsid w:val="37D6138F"/>
    <w:rsid w:val="38E2316C"/>
    <w:rsid w:val="38F01E0F"/>
    <w:rsid w:val="3A686FD2"/>
    <w:rsid w:val="3D7303AF"/>
    <w:rsid w:val="3DF722DE"/>
    <w:rsid w:val="3E4439FF"/>
    <w:rsid w:val="3FD4005E"/>
    <w:rsid w:val="40D1726E"/>
    <w:rsid w:val="411A555F"/>
    <w:rsid w:val="4264282E"/>
    <w:rsid w:val="43DF7588"/>
    <w:rsid w:val="443C2863"/>
    <w:rsid w:val="44643677"/>
    <w:rsid w:val="44CF6784"/>
    <w:rsid w:val="466332D4"/>
    <w:rsid w:val="467339BF"/>
    <w:rsid w:val="4866069E"/>
    <w:rsid w:val="49030E8E"/>
    <w:rsid w:val="49230A49"/>
    <w:rsid w:val="49792492"/>
    <w:rsid w:val="49BA7897"/>
    <w:rsid w:val="4C5C1D8A"/>
    <w:rsid w:val="4C605398"/>
    <w:rsid w:val="4CB22AFB"/>
    <w:rsid w:val="5023004A"/>
    <w:rsid w:val="50D949D1"/>
    <w:rsid w:val="51361C2C"/>
    <w:rsid w:val="53D04E29"/>
    <w:rsid w:val="54A24F89"/>
    <w:rsid w:val="54BC7BD8"/>
    <w:rsid w:val="55023130"/>
    <w:rsid w:val="55EF0209"/>
    <w:rsid w:val="56480A7E"/>
    <w:rsid w:val="57621839"/>
    <w:rsid w:val="580E08E2"/>
    <w:rsid w:val="5973386A"/>
    <w:rsid w:val="59897653"/>
    <w:rsid w:val="598E3159"/>
    <w:rsid w:val="5A0B31AD"/>
    <w:rsid w:val="5BBD3A7B"/>
    <w:rsid w:val="5DF15728"/>
    <w:rsid w:val="5E49202A"/>
    <w:rsid w:val="5FC51331"/>
    <w:rsid w:val="6138224A"/>
    <w:rsid w:val="617F39A8"/>
    <w:rsid w:val="62DA198F"/>
    <w:rsid w:val="63D60FFB"/>
    <w:rsid w:val="64A63594"/>
    <w:rsid w:val="655E599F"/>
    <w:rsid w:val="66461D5A"/>
    <w:rsid w:val="66D16BDE"/>
    <w:rsid w:val="66FF6BB4"/>
    <w:rsid w:val="67447052"/>
    <w:rsid w:val="687B37FA"/>
    <w:rsid w:val="68E53BB4"/>
    <w:rsid w:val="6B7D756C"/>
    <w:rsid w:val="6D725673"/>
    <w:rsid w:val="6DB052F4"/>
    <w:rsid w:val="6DF86C32"/>
    <w:rsid w:val="6ED57E7B"/>
    <w:rsid w:val="6FC7776B"/>
    <w:rsid w:val="713C507E"/>
    <w:rsid w:val="7194132F"/>
    <w:rsid w:val="72847935"/>
    <w:rsid w:val="729616E2"/>
    <w:rsid w:val="73433468"/>
    <w:rsid w:val="739764D5"/>
    <w:rsid w:val="73F60E31"/>
    <w:rsid w:val="74D50F00"/>
    <w:rsid w:val="750D130E"/>
    <w:rsid w:val="751C5C25"/>
    <w:rsid w:val="75202A69"/>
    <w:rsid w:val="75F57AD2"/>
    <w:rsid w:val="76344555"/>
    <w:rsid w:val="767C6D3F"/>
    <w:rsid w:val="77C54C46"/>
    <w:rsid w:val="788C05D2"/>
    <w:rsid w:val="78E539F5"/>
    <w:rsid w:val="79B1118C"/>
    <w:rsid w:val="7B6B623C"/>
    <w:rsid w:val="7BFA3651"/>
    <w:rsid w:val="7C6A058F"/>
    <w:rsid w:val="7E4754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9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1"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qFormat="1" w:uiPriority="99" w:semiHidden="0" w:name="Hyperlink"/>
    <w:lsdException w:qFormat="1" w:uiPriority="99"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spacing w:after="200" w:line="276" w:lineRule="auto"/>
    </w:pPr>
    <w:rPr>
      <w:rFonts w:asciiTheme="majorHAnsi" w:hAnsiTheme="majorHAnsi" w:eastAsiaTheme="majorEastAsia" w:cstheme="majorBidi"/>
      <w:sz w:val="22"/>
      <w:szCs w:val="22"/>
      <w:lang w:val="en-US" w:eastAsia="zh-CN" w:bidi="ar-SA"/>
    </w:rPr>
  </w:style>
  <w:style w:type="paragraph" w:styleId="2">
    <w:name w:val="heading 1"/>
    <w:basedOn w:val="1"/>
    <w:next w:val="1"/>
    <w:autoRedefine/>
    <w:qFormat/>
    <w:uiPriority w:val="9"/>
    <w:pPr>
      <w:spacing w:before="480" w:after="0"/>
      <w:contextualSpacing/>
      <w:outlineLvl w:val="0"/>
    </w:pPr>
    <w:rPr>
      <w:b/>
      <w:smallCaps/>
      <w:spacing w:val="5"/>
      <w:sz w:val="28"/>
      <w:szCs w:val="36"/>
    </w:rPr>
  </w:style>
  <w:style w:type="paragraph" w:styleId="3">
    <w:name w:val="heading 2"/>
    <w:basedOn w:val="1"/>
    <w:next w:val="1"/>
    <w:autoRedefine/>
    <w:qFormat/>
    <w:uiPriority w:val="1"/>
    <w:pPr>
      <w:spacing w:after="120"/>
      <w:ind w:left="1276" w:firstLine="200" w:firstLineChars="200"/>
      <w:outlineLvl w:val="1"/>
    </w:pPr>
    <w:rPr>
      <w:rFonts w:ascii="宋体" w:hAnsi="宋体" w:eastAsia="宋体" w:cs="宋体"/>
      <w:b/>
      <w:bCs/>
      <w:sz w:val="24"/>
      <w:szCs w:val="21"/>
      <w:lang w:val="zh-CN" w:bidi="zh-CN"/>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Body Text"/>
    <w:basedOn w:val="1"/>
    <w:autoRedefine/>
    <w:qFormat/>
    <w:uiPriority w:val="1"/>
    <w:rPr>
      <w:rFonts w:ascii="宋体" w:hAnsi="宋体" w:eastAsia="宋体" w:cs="宋体"/>
      <w:sz w:val="21"/>
      <w:szCs w:val="21"/>
      <w:lang w:val="zh-CN" w:bidi="zh-CN"/>
    </w:rPr>
  </w:style>
  <w:style w:type="paragraph" w:styleId="5">
    <w:name w:val="toc 3"/>
    <w:basedOn w:val="1"/>
    <w:next w:val="1"/>
    <w:qFormat/>
    <w:uiPriority w:val="99"/>
    <w:pPr>
      <w:ind w:left="840" w:leftChars="400"/>
    </w:pPr>
  </w:style>
  <w:style w:type="paragraph" w:styleId="6">
    <w:name w:val="Plain Text"/>
    <w:basedOn w:val="1"/>
    <w:autoRedefine/>
    <w:qFormat/>
    <w:uiPriority w:val="0"/>
    <w:pPr>
      <w:ind w:firstLine="200" w:firstLineChars="200"/>
    </w:pPr>
    <w:rPr>
      <w:rFonts w:hint="eastAsia" w:ascii="宋体" w:hAnsi="Courier New" w:eastAsia="仿宋" w:cs="Courier New"/>
      <w:szCs w:val="21"/>
    </w:rPr>
  </w:style>
  <w:style w:type="paragraph" w:styleId="7">
    <w:name w:val="footer"/>
    <w:basedOn w:val="1"/>
    <w:link w:val="21"/>
    <w:autoRedefine/>
    <w:qFormat/>
    <w:uiPriority w:val="99"/>
    <w:pPr>
      <w:tabs>
        <w:tab w:val="center" w:pos="4153"/>
        <w:tab w:val="right" w:pos="8306"/>
      </w:tabs>
      <w:snapToGrid w:val="0"/>
      <w:spacing w:line="240" w:lineRule="auto"/>
    </w:pPr>
    <w:rPr>
      <w:sz w:val="18"/>
      <w:szCs w:val="18"/>
    </w:rPr>
  </w:style>
  <w:style w:type="paragraph" w:styleId="8">
    <w:name w:val="header"/>
    <w:basedOn w:val="1"/>
    <w:link w:val="20"/>
    <w:autoRedefine/>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autoRedefine/>
    <w:qFormat/>
    <w:uiPriority w:val="39"/>
    <w:pPr>
      <w:tabs>
        <w:tab w:val="right" w:leader="dot" w:pos="9062"/>
      </w:tabs>
      <w:spacing w:after="156" w:afterLines="50" w:line="400" w:lineRule="exact"/>
    </w:pPr>
    <w:rPr>
      <w:b/>
      <w:bCs/>
    </w:rPr>
  </w:style>
  <w:style w:type="paragraph" w:styleId="10">
    <w:name w:val="Body Text Indent 3"/>
    <w:basedOn w:val="1"/>
    <w:autoRedefine/>
    <w:qFormat/>
    <w:uiPriority w:val="0"/>
    <w:pPr>
      <w:spacing w:after="120"/>
      <w:ind w:left="420" w:leftChars="200"/>
    </w:pPr>
    <w:rPr>
      <w:rFonts w:eastAsia="宋体"/>
      <w:sz w:val="16"/>
      <w:szCs w:val="16"/>
    </w:rPr>
  </w:style>
  <w:style w:type="paragraph" w:styleId="11">
    <w:name w:val="toc 2"/>
    <w:basedOn w:val="1"/>
    <w:next w:val="1"/>
    <w:autoRedefine/>
    <w:qFormat/>
    <w:uiPriority w:val="39"/>
    <w:pPr>
      <w:tabs>
        <w:tab w:val="right" w:leader="dot" w:pos="9062"/>
      </w:tabs>
      <w:spacing w:after="0" w:line="440" w:lineRule="exact"/>
      <w:ind w:left="440" w:leftChars="200"/>
    </w:pPr>
  </w:style>
  <w:style w:type="paragraph" w:styleId="12">
    <w:name w:val="HTML Preformatted"/>
    <w:basedOn w:val="1"/>
    <w:autoRedefine/>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sz w:val="24"/>
    </w:rPr>
  </w:style>
  <w:style w:type="table" w:styleId="14">
    <w:name w:val="Table Grid"/>
    <w:basedOn w:val="1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FollowedHyperlink"/>
    <w:basedOn w:val="15"/>
    <w:autoRedefine/>
    <w:semiHidden/>
    <w:unhideWhenUsed/>
    <w:qFormat/>
    <w:uiPriority w:val="99"/>
    <w:rPr>
      <w:color w:val="954F72"/>
      <w:u w:val="single"/>
    </w:rPr>
  </w:style>
  <w:style w:type="character" w:styleId="17">
    <w:name w:val="Hyperlink"/>
    <w:basedOn w:val="15"/>
    <w:autoRedefine/>
    <w:unhideWhenUsed/>
    <w:qFormat/>
    <w:uiPriority w:val="99"/>
    <w:rPr>
      <w:color w:val="0563C1" w:themeColor="hyperlink"/>
      <w:u w:val="single"/>
      <w14:textFill>
        <w14:solidFill>
          <w14:schemeClr w14:val="hlink"/>
        </w14:solidFill>
      </w14:textFill>
    </w:rPr>
  </w:style>
  <w:style w:type="paragraph" w:customStyle="1" w:styleId="18">
    <w:name w:val="Table Paragraph"/>
    <w:basedOn w:val="1"/>
    <w:autoRedefine/>
    <w:qFormat/>
    <w:uiPriority w:val="1"/>
    <w:rPr>
      <w:rFonts w:ascii="宋体" w:hAnsi="宋体" w:eastAsia="宋体" w:cs="宋体"/>
      <w:lang w:val="zh-CN" w:bidi="zh-CN"/>
    </w:rPr>
  </w:style>
  <w:style w:type="paragraph" w:styleId="19">
    <w:name w:val="List Paragraph"/>
    <w:basedOn w:val="1"/>
    <w:autoRedefine/>
    <w:qFormat/>
    <w:uiPriority w:val="1"/>
    <w:pPr>
      <w:ind w:left="1262" w:hanging="525"/>
    </w:pPr>
    <w:rPr>
      <w:rFonts w:ascii="宋体" w:hAnsi="宋体" w:eastAsia="宋体" w:cs="宋体"/>
      <w:lang w:val="zh-CN" w:bidi="zh-CN"/>
    </w:rPr>
  </w:style>
  <w:style w:type="character" w:customStyle="1" w:styleId="20">
    <w:name w:val="页眉 字符"/>
    <w:basedOn w:val="15"/>
    <w:link w:val="8"/>
    <w:autoRedefine/>
    <w:qFormat/>
    <w:uiPriority w:val="0"/>
    <w:rPr>
      <w:rFonts w:asciiTheme="majorHAnsi" w:hAnsiTheme="majorHAnsi" w:eastAsiaTheme="majorEastAsia" w:cstheme="majorBidi"/>
      <w:sz w:val="18"/>
      <w:szCs w:val="18"/>
    </w:rPr>
  </w:style>
  <w:style w:type="character" w:customStyle="1" w:styleId="21">
    <w:name w:val="页脚 字符"/>
    <w:basedOn w:val="15"/>
    <w:link w:val="7"/>
    <w:autoRedefine/>
    <w:qFormat/>
    <w:uiPriority w:val="99"/>
    <w:rPr>
      <w:rFonts w:asciiTheme="majorHAnsi" w:hAnsiTheme="majorHAnsi" w:eastAsiaTheme="majorEastAsia" w:cstheme="majorBidi"/>
      <w:sz w:val="18"/>
      <w:szCs w:val="18"/>
    </w:rPr>
  </w:style>
  <w:style w:type="paragraph" w:customStyle="1" w:styleId="22">
    <w:name w:val="font5"/>
    <w:basedOn w:val="1"/>
    <w:autoRedefine/>
    <w:qFormat/>
    <w:uiPriority w:val="0"/>
    <w:pPr>
      <w:spacing w:before="100" w:beforeAutospacing="1" w:after="100" w:afterAutospacing="1" w:line="240" w:lineRule="auto"/>
    </w:pPr>
    <w:rPr>
      <w:rFonts w:ascii="宋体" w:hAnsi="宋体" w:eastAsia="宋体" w:cs="宋体"/>
      <w:color w:val="000000"/>
      <w:sz w:val="18"/>
      <w:szCs w:val="18"/>
    </w:rPr>
  </w:style>
  <w:style w:type="paragraph" w:customStyle="1" w:styleId="23">
    <w:name w:val="font6"/>
    <w:basedOn w:val="1"/>
    <w:autoRedefine/>
    <w:qFormat/>
    <w:uiPriority w:val="0"/>
    <w:pPr>
      <w:spacing w:before="100" w:beforeAutospacing="1" w:after="100" w:afterAutospacing="1" w:line="240" w:lineRule="auto"/>
    </w:pPr>
    <w:rPr>
      <w:rFonts w:ascii="宋体" w:hAnsi="宋体" w:eastAsia="宋体" w:cs="宋体"/>
      <w:color w:val="000000"/>
      <w:sz w:val="18"/>
      <w:szCs w:val="18"/>
    </w:rPr>
  </w:style>
  <w:style w:type="paragraph" w:customStyle="1" w:styleId="24">
    <w:name w:val="font7"/>
    <w:basedOn w:val="1"/>
    <w:autoRedefine/>
    <w:qFormat/>
    <w:uiPriority w:val="0"/>
    <w:pPr>
      <w:spacing w:before="100" w:beforeAutospacing="1" w:after="100" w:afterAutospacing="1" w:line="240" w:lineRule="auto"/>
    </w:pPr>
    <w:rPr>
      <w:rFonts w:ascii="宋体" w:hAnsi="宋体" w:eastAsia="宋体" w:cs="宋体"/>
      <w:sz w:val="18"/>
      <w:szCs w:val="18"/>
    </w:rPr>
  </w:style>
  <w:style w:type="paragraph" w:customStyle="1" w:styleId="25">
    <w:name w:val="xl65"/>
    <w:basedOn w:val="1"/>
    <w:autoRedefine/>
    <w:qFormat/>
    <w:uiPriority w:val="0"/>
    <w:pPr>
      <w:spacing w:before="100" w:beforeAutospacing="1" w:after="100" w:afterAutospacing="1" w:line="240" w:lineRule="auto"/>
    </w:pPr>
    <w:rPr>
      <w:rFonts w:ascii="宋体" w:hAnsi="宋体" w:eastAsia="宋体" w:cs="宋体"/>
      <w:b/>
      <w:bCs/>
      <w:sz w:val="24"/>
      <w:szCs w:val="24"/>
    </w:rPr>
  </w:style>
  <w:style w:type="paragraph" w:customStyle="1" w:styleId="26">
    <w:name w:val="xl6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b/>
      <w:bCs/>
      <w:sz w:val="18"/>
      <w:szCs w:val="18"/>
    </w:rPr>
  </w:style>
  <w:style w:type="paragraph" w:customStyle="1" w:styleId="27">
    <w:name w:val="xl67"/>
    <w:basedOn w:val="1"/>
    <w:autoRedefine/>
    <w:qFormat/>
    <w:uiPriority w:val="0"/>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sz w:val="18"/>
      <w:szCs w:val="18"/>
    </w:rPr>
  </w:style>
  <w:style w:type="paragraph" w:customStyle="1" w:styleId="28">
    <w:name w:val="xl6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sz w:val="18"/>
      <w:szCs w:val="18"/>
    </w:rPr>
  </w:style>
  <w:style w:type="paragraph" w:customStyle="1" w:styleId="29">
    <w:name w:val="xl6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sz w:val="18"/>
      <w:szCs w:val="18"/>
    </w:rPr>
  </w:style>
  <w:style w:type="paragraph" w:customStyle="1" w:styleId="30">
    <w:name w:val="xl70"/>
    <w:basedOn w:val="1"/>
    <w:autoRedefine/>
    <w:qFormat/>
    <w:uiPriority w:val="0"/>
    <w:pPr>
      <w:pBdr>
        <w:top w:val="single" w:color="auto" w:sz="4" w:space="0"/>
        <w:left w:val="single" w:color="auto" w:sz="4" w:space="0"/>
        <w:bottom w:val="single" w:color="auto" w:sz="4" w:space="0"/>
        <w:right w:val="single" w:color="auto" w:sz="4" w:space="0"/>
      </w:pBdr>
      <w:shd w:val="clear" w:color="000000" w:fill="DDEBF7"/>
      <w:spacing w:before="100" w:beforeAutospacing="1" w:after="100" w:afterAutospacing="1" w:line="240" w:lineRule="auto"/>
      <w:jc w:val="center"/>
    </w:pPr>
    <w:rPr>
      <w:rFonts w:ascii="宋体" w:hAnsi="宋体" w:eastAsia="宋体" w:cs="宋体"/>
      <w:b/>
      <w:bCs/>
      <w:sz w:val="18"/>
      <w:szCs w:val="18"/>
    </w:rPr>
  </w:style>
  <w:style w:type="paragraph" w:customStyle="1" w:styleId="31">
    <w:name w:val="xl7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pPr>
    <w:rPr>
      <w:rFonts w:ascii="宋体" w:hAnsi="宋体" w:eastAsia="宋体" w:cs="宋体"/>
      <w:sz w:val="24"/>
      <w:szCs w:val="24"/>
    </w:rPr>
  </w:style>
  <w:style w:type="paragraph" w:customStyle="1" w:styleId="32">
    <w:name w:val="xl72"/>
    <w:basedOn w:val="1"/>
    <w:autoRedefine/>
    <w:qFormat/>
    <w:uiPriority w:val="0"/>
    <w:pPr>
      <w:pBdr>
        <w:top w:val="single" w:color="auto" w:sz="4" w:space="0"/>
        <w:left w:val="single" w:color="auto" w:sz="4" w:space="0"/>
        <w:bottom w:val="single" w:color="auto" w:sz="4" w:space="0"/>
        <w:right w:val="single" w:color="auto" w:sz="4" w:space="0"/>
      </w:pBdr>
      <w:shd w:val="clear" w:color="000000" w:fill="BDD7EE"/>
      <w:spacing w:before="100" w:beforeAutospacing="1" w:after="100" w:afterAutospacing="1" w:line="240" w:lineRule="auto"/>
      <w:jc w:val="center"/>
    </w:pPr>
    <w:rPr>
      <w:rFonts w:ascii="宋体" w:hAnsi="宋体" w:eastAsia="宋体" w:cs="宋体"/>
      <w:b/>
      <w:bCs/>
      <w:sz w:val="18"/>
      <w:szCs w:val="18"/>
    </w:rPr>
  </w:style>
  <w:style w:type="paragraph" w:customStyle="1" w:styleId="33">
    <w:name w:val="xl7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sz w:val="18"/>
      <w:szCs w:val="18"/>
    </w:rPr>
  </w:style>
  <w:style w:type="paragraph" w:customStyle="1" w:styleId="34">
    <w:name w:val="xl74"/>
    <w:basedOn w:val="1"/>
    <w:autoRedefine/>
    <w:qFormat/>
    <w:uiPriority w:val="0"/>
    <w:pPr>
      <w:pBdr>
        <w:top w:val="single" w:color="auto" w:sz="4" w:space="0"/>
        <w:left w:val="single" w:color="auto" w:sz="4" w:space="0"/>
        <w:bottom w:val="single" w:color="auto" w:sz="4" w:space="0"/>
        <w:right w:val="single" w:color="auto" w:sz="4" w:space="0"/>
      </w:pBdr>
      <w:shd w:val="clear" w:color="000000" w:fill="DDEBF7"/>
      <w:spacing w:before="100" w:beforeAutospacing="1" w:after="100" w:afterAutospacing="1" w:line="240" w:lineRule="auto"/>
      <w:jc w:val="center"/>
    </w:pPr>
    <w:rPr>
      <w:rFonts w:ascii="宋体" w:hAnsi="宋体" w:eastAsia="宋体" w:cs="宋体"/>
      <w:b/>
      <w:bCs/>
      <w:sz w:val="18"/>
      <w:szCs w:val="18"/>
    </w:rPr>
  </w:style>
  <w:style w:type="paragraph" w:customStyle="1" w:styleId="35">
    <w:name w:val="xl75"/>
    <w:basedOn w:val="1"/>
    <w:autoRedefine/>
    <w:qFormat/>
    <w:uiPriority w:val="0"/>
    <w:pPr>
      <w:pBdr>
        <w:top w:val="single" w:color="auto" w:sz="4" w:space="0"/>
        <w:left w:val="single" w:color="auto" w:sz="4" w:space="0"/>
        <w:bottom w:val="single" w:color="auto" w:sz="4" w:space="0"/>
        <w:right w:val="single" w:color="auto" w:sz="4" w:space="0"/>
      </w:pBdr>
      <w:shd w:val="clear" w:color="000000" w:fill="DDEBF7"/>
      <w:spacing w:before="100" w:beforeAutospacing="1" w:after="100" w:afterAutospacing="1" w:line="240" w:lineRule="auto"/>
    </w:pPr>
    <w:rPr>
      <w:rFonts w:ascii="宋体" w:hAnsi="宋体" w:eastAsia="宋体" w:cs="宋体"/>
      <w:b/>
      <w:bCs/>
      <w:sz w:val="24"/>
      <w:szCs w:val="24"/>
    </w:rPr>
  </w:style>
  <w:style w:type="paragraph" w:customStyle="1" w:styleId="36">
    <w:name w:val="xl76"/>
    <w:basedOn w:val="1"/>
    <w:autoRedefine/>
    <w:qFormat/>
    <w:uiPriority w:val="0"/>
    <w:pPr>
      <w:pBdr>
        <w:top w:val="single" w:color="auto" w:sz="4" w:space="0"/>
        <w:left w:val="single" w:color="auto" w:sz="4" w:space="0"/>
        <w:bottom w:val="single" w:color="auto" w:sz="4" w:space="0"/>
        <w:right w:val="single" w:color="auto" w:sz="4" w:space="0"/>
      </w:pBdr>
      <w:shd w:val="clear" w:color="000000" w:fill="DDEBF7"/>
      <w:spacing w:before="100" w:beforeAutospacing="1" w:after="100" w:afterAutospacing="1" w:line="240" w:lineRule="auto"/>
      <w:jc w:val="center"/>
    </w:pPr>
    <w:rPr>
      <w:rFonts w:ascii="宋体" w:hAnsi="宋体" w:eastAsia="宋体" w:cs="宋体"/>
      <w:b/>
      <w:bCs/>
      <w:sz w:val="24"/>
      <w:szCs w:val="24"/>
    </w:rPr>
  </w:style>
  <w:style w:type="paragraph" w:customStyle="1" w:styleId="37">
    <w:name w:val="xl77"/>
    <w:basedOn w:val="1"/>
    <w:autoRedefine/>
    <w:qFormat/>
    <w:uiPriority w:val="0"/>
    <w:pPr>
      <w:pBdr>
        <w:top w:val="single" w:color="auto" w:sz="4" w:space="0"/>
        <w:left w:val="single" w:color="auto" w:sz="4" w:space="0"/>
        <w:bottom w:val="single" w:color="auto" w:sz="4" w:space="0"/>
        <w:right w:val="single" w:color="auto" w:sz="4" w:space="0"/>
      </w:pBdr>
      <w:shd w:val="clear" w:color="000000" w:fill="BDD7EE"/>
      <w:spacing w:before="100" w:beforeAutospacing="1" w:after="100" w:afterAutospacing="1" w:line="240" w:lineRule="auto"/>
      <w:jc w:val="center"/>
    </w:pPr>
    <w:rPr>
      <w:rFonts w:ascii="宋体" w:hAnsi="宋体" w:eastAsia="宋体" w:cs="宋体"/>
      <w:b/>
      <w:bCs/>
      <w:sz w:val="18"/>
      <w:szCs w:val="18"/>
    </w:rPr>
  </w:style>
  <w:style w:type="paragraph" w:customStyle="1" w:styleId="38">
    <w:name w:val="xl78"/>
    <w:basedOn w:val="1"/>
    <w:autoRedefine/>
    <w:qFormat/>
    <w:uiPriority w:val="0"/>
    <w:pPr>
      <w:spacing w:before="100" w:beforeAutospacing="1" w:after="100" w:afterAutospacing="1" w:line="240" w:lineRule="auto"/>
    </w:pPr>
    <w:rPr>
      <w:rFonts w:ascii="宋体" w:hAnsi="宋体" w:eastAsia="宋体" w:cs="宋体"/>
      <w:sz w:val="18"/>
      <w:szCs w:val="18"/>
    </w:rPr>
  </w:style>
  <w:style w:type="paragraph" w:customStyle="1" w:styleId="39">
    <w:name w:val="xl79"/>
    <w:basedOn w:val="1"/>
    <w:autoRedefine/>
    <w:qFormat/>
    <w:uiPriority w:val="0"/>
    <w:pPr>
      <w:spacing w:before="100" w:beforeAutospacing="1" w:after="100" w:afterAutospacing="1" w:line="240" w:lineRule="auto"/>
    </w:pPr>
    <w:rPr>
      <w:rFonts w:ascii="宋体" w:hAnsi="宋体" w:eastAsia="宋体" w:cs="宋体"/>
      <w:sz w:val="24"/>
      <w:szCs w:val="24"/>
    </w:rPr>
  </w:style>
  <w:style w:type="paragraph" w:customStyle="1" w:styleId="40">
    <w:name w:val="xl80"/>
    <w:basedOn w:val="1"/>
    <w:autoRedefine/>
    <w:qFormat/>
    <w:uiPriority w:val="0"/>
    <w:pPr>
      <w:spacing w:before="100" w:beforeAutospacing="1" w:after="100" w:afterAutospacing="1" w:line="240" w:lineRule="auto"/>
      <w:jc w:val="center"/>
    </w:pPr>
    <w:rPr>
      <w:rFonts w:ascii="宋体" w:hAnsi="宋体" w:eastAsia="宋体" w:cs="宋体"/>
      <w:b/>
      <w:bCs/>
      <w:sz w:val="32"/>
      <w:szCs w:val="32"/>
    </w:rPr>
  </w:style>
  <w:style w:type="paragraph" w:customStyle="1" w:styleId="41">
    <w:name w:val="xl81"/>
    <w:basedOn w:val="1"/>
    <w:autoRedefine/>
    <w:qFormat/>
    <w:uiPriority w:val="0"/>
    <w:pPr>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eastAsia="宋体" w:cs="宋体"/>
      <w:sz w:val="18"/>
      <w:szCs w:val="18"/>
    </w:rPr>
  </w:style>
  <w:style w:type="paragraph" w:customStyle="1" w:styleId="42">
    <w:name w:val="xl82"/>
    <w:basedOn w:val="1"/>
    <w:autoRedefine/>
    <w:qFormat/>
    <w:uiPriority w:val="0"/>
    <w:pPr>
      <w:pBdr>
        <w:left w:val="single" w:color="auto" w:sz="4" w:space="0"/>
        <w:right w:val="single" w:color="auto" w:sz="4" w:space="0"/>
      </w:pBdr>
      <w:spacing w:before="100" w:beforeAutospacing="1" w:after="100" w:afterAutospacing="1" w:line="240" w:lineRule="auto"/>
      <w:jc w:val="center"/>
    </w:pPr>
    <w:rPr>
      <w:rFonts w:ascii="宋体" w:hAnsi="宋体" w:eastAsia="宋体" w:cs="宋体"/>
      <w:sz w:val="18"/>
      <w:szCs w:val="18"/>
    </w:rPr>
  </w:style>
  <w:style w:type="paragraph" w:customStyle="1" w:styleId="43">
    <w:name w:val="xl83"/>
    <w:basedOn w:val="1"/>
    <w:autoRedefine/>
    <w:qFormat/>
    <w:uiPriority w:val="0"/>
    <w:pPr>
      <w:pBdr>
        <w:top w:val="single" w:color="auto" w:sz="4" w:space="0"/>
        <w:left w:val="single" w:color="auto" w:sz="4" w:space="0"/>
      </w:pBdr>
      <w:spacing w:before="100" w:beforeAutospacing="1" w:after="100" w:afterAutospacing="1" w:line="240" w:lineRule="auto"/>
      <w:jc w:val="center"/>
    </w:pPr>
    <w:rPr>
      <w:rFonts w:ascii="宋体" w:hAnsi="宋体" w:eastAsia="宋体" w:cs="宋体"/>
      <w:sz w:val="18"/>
      <w:szCs w:val="18"/>
    </w:rPr>
  </w:style>
  <w:style w:type="paragraph" w:customStyle="1" w:styleId="44">
    <w:name w:val="xl84"/>
    <w:basedOn w:val="1"/>
    <w:autoRedefine/>
    <w:qFormat/>
    <w:uiPriority w:val="0"/>
    <w:pPr>
      <w:pBdr>
        <w:top w:val="single" w:color="auto" w:sz="4" w:space="0"/>
        <w:right w:val="single" w:color="auto" w:sz="4" w:space="0"/>
      </w:pBdr>
      <w:spacing w:before="100" w:beforeAutospacing="1" w:after="100" w:afterAutospacing="1" w:line="240" w:lineRule="auto"/>
      <w:jc w:val="center"/>
    </w:pPr>
    <w:rPr>
      <w:rFonts w:ascii="宋体" w:hAnsi="宋体" w:eastAsia="宋体" w:cs="宋体"/>
      <w:sz w:val="18"/>
      <w:szCs w:val="18"/>
    </w:rPr>
  </w:style>
  <w:style w:type="paragraph" w:customStyle="1" w:styleId="45">
    <w:name w:val="xl85"/>
    <w:basedOn w:val="1"/>
    <w:autoRedefine/>
    <w:qFormat/>
    <w:uiPriority w:val="0"/>
    <w:pPr>
      <w:pBdr>
        <w:left w:val="single" w:color="auto" w:sz="4" w:space="0"/>
      </w:pBdr>
      <w:spacing w:before="100" w:beforeAutospacing="1" w:after="100" w:afterAutospacing="1" w:line="240" w:lineRule="auto"/>
      <w:jc w:val="center"/>
    </w:pPr>
    <w:rPr>
      <w:rFonts w:ascii="宋体" w:hAnsi="宋体" w:eastAsia="宋体" w:cs="宋体"/>
      <w:sz w:val="18"/>
      <w:szCs w:val="18"/>
    </w:rPr>
  </w:style>
  <w:style w:type="paragraph" w:customStyle="1" w:styleId="46">
    <w:name w:val="xl86"/>
    <w:basedOn w:val="1"/>
    <w:autoRedefine/>
    <w:qFormat/>
    <w:uiPriority w:val="0"/>
    <w:pPr>
      <w:pBdr>
        <w:right w:val="single" w:color="auto" w:sz="4" w:space="0"/>
      </w:pBdr>
      <w:spacing w:before="100" w:beforeAutospacing="1" w:after="100" w:afterAutospacing="1" w:line="240" w:lineRule="auto"/>
      <w:jc w:val="center"/>
    </w:pPr>
    <w:rPr>
      <w:rFonts w:ascii="宋体" w:hAnsi="宋体" w:eastAsia="宋体" w:cs="宋体"/>
      <w:sz w:val="18"/>
      <w:szCs w:val="18"/>
    </w:rPr>
  </w:style>
  <w:style w:type="paragraph" w:customStyle="1" w:styleId="47">
    <w:name w:val="xl87"/>
    <w:basedOn w:val="1"/>
    <w:autoRedefine/>
    <w:qFormat/>
    <w:uiPriority w:val="0"/>
    <w:pPr>
      <w:pBdr>
        <w:left w:val="single" w:color="auto" w:sz="4" w:space="0"/>
        <w:bottom w:val="single" w:color="auto" w:sz="4" w:space="0"/>
      </w:pBdr>
      <w:spacing w:before="100" w:beforeAutospacing="1" w:after="100" w:afterAutospacing="1" w:line="240" w:lineRule="auto"/>
      <w:jc w:val="center"/>
    </w:pPr>
    <w:rPr>
      <w:rFonts w:ascii="宋体" w:hAnsi="宋体" w:eastAsia="宋体" w:cs="宋体"/>
      <w:sz w:val="18"/>
      <w:szCs w:val="18"/>
    </w:rPr>
  </w:style>
  <w:style w:type="paragraph" w:customStyle="1" w:styleId="48">
    <w:name w:val="xl88"/>
    <w:basedOn w:val="1"/>
    <w:autoRedefine/>
    <w:qFormat/>
    <w:uiPriority w:val="0"/>
    <w:pPr>
      <w:pBdr>
        <w:bottom w:val="single" w:color="auto" w:sz="4" w:space="0"/>
        <w:right w:val="single" w:color="auto" w:sz="4" w:space="0"/>
      </w:pBdr>
      <w:spacing w:before="100" w:beforeAutospacing="1" w:after="100" w:afterAutospacing="1" w:line="240" w:lineRule="auto"/>
      <w:jc w:val="center"/>
    </w:pPr>
    <w:rPr>
      <w:rFonts w:ascii="宋体" w:hAnsi="宋体" w:eastAsia="宋体" w:cs="宋体"/>
      <w:sz w:val="18"/>
      <w:szCs w:val="18"/>
    </w:rPr>
  </w:style>
  <w:style w:type="paragraph" w:customStyle="1" w:styleId="49">
    <w:name w:val="xl8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both"/>
    </w:pPr>
    <w:rPr>
      <w:rFonts w:ascii="宋体" w:hAnsi="宋体" w:eastAsia="宋体" w:cs="宋体"/>
      <w:b/>
      <w:bCs/>
      <w:color w:val="000000"/>
      <w:sz w:val="18"/>
      <w:szCs w:val="18"/>
    </w:rPr>
  </w:style>
  <w:style w:type="paragraph" w:customStyle="1" w:styleId="50">
    <w:name w:val="xl90"/>
    <w:basedOn w:val="1"/>
    <w:autoRedefine/>
    <w:qFormat/>
    <w:uiPriority w:val="0"/>
    <w:pPr>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eastAsia="宋体" w:cs="宋体"/>
      <w:sz w:val="18"/>
      <w:szCs w:val="18"/>
    </w:rPr>
  </w:style>
  <w:style w:type="paragraph" w:customStyle="1" w:styleId="51">
    <w:name w:val="xl91"/>
    <w:basedOn w:val="1"/>
    <w:autoRedefine/>
    <w:qFormat/>
    <w:uiPriority w:val="0"/>
    <w:pPr>
      <w:pBdr>
        <w:top w:val="single" w:color="auto" w:sz="4" w:space="0"/>
        <w:bottom w:val="single" w:color="auto" w:sz="4" w:space="0"/>
      </w:pBdr>
      <w:spacing w:before="100" w:beforeAutospacing="1" w:after="100" w:afterAutospacing="1" w:line="240" w:lineRule="auto"/>
      <w:jc w:val="center"/>
    </w:pPr>
    <w:rPr>
      <w:rFonts w:ascii="宋体" w:hAnsi="宋体" w:eastAsia="宋体" w:cs="宋体"/>
      <w:sz w:val="18"/>
      <w:szCs w:val="18"/>
    </w:rPr>
  </w:style>
  <w:style w:type="paragraph" w:customStyle="1" w:styleId="52">
    <w:name w:val="xl92"/>
    <w:basedOn w:val="1"/>
    <w:autoRedefine/>
    <w:qFormat/>
    <w:uiPriority w:val="0"/>
    <w:pPr>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sz w:val="18"/>
      <w:szCs w:val="18"/>
    </w:rPr>
  </w:style>
  <w:style w:type="paragraph" w:customStyle="1" w:styleId="53">
    <w:name w:val="xl93"/>
    <w:basedOn w:val="1"/>
    <w:autoRedefine/>
    <w:qFormat/>
    <w:uiPriority w:val="0"/>
    <w:pPr>
      <w:pBdr>
        <w:top w:val="single" w:color="auto" w:sz="4" w:space="0"/>
        <w:left w:val="single" w:color="auto" w:sz="4" w:space="0"/>
        <w:bottom w:val="single" w:color="auto" w:sz="4" w:space="0"/>
      </w:pBdr>
      <w:shd w:val="clear" w:color="000000" w:fill="BDD7EE"/>
      <w:spacing w:before="100" w:beforeAutospacing="1" w:after="100" w:afterAutospacing="1" w:line="240" w:lineRule="auto"/>
      <w:jc w:val="center"/>
    </w:pPr>
    <w:rPr>
      <w:rFonts w:ascii="宋体" w:hAnsi="宋体" w:eastAsia="宋体" w:cs="宋体"/>
      <w:b/>
      <w:bCs/>
      <w:sz w:val="18"/>
      <w:szCs w:val="18"/>
    </w:rPr>
  </w:style>
  <w:style w:type="paragraph" w:customStyle="1" w:styleId="54">
    <w:name w:val="xl94"/>
    <w:basedOn w:val="1"/>
    <w:autoRedefine/>
    <w:qFormat/>
    <w:uiPriority w:val="0"/>
    <w:pPr>
      <w:pBdr>
        <w:top w:val="single" w:color="auto" w:sz="4" w:space="0"/>
        <w:bottom w:val="single" w:color="auto" w:sz="4" w:space="0"/>
      </w:pBdr>
      <w:shd w:val="clear" w:color="000000" w:fill="BDD7EE"/>
      <w:spacing w:before="100" w:beforeAutospacing="1" w:after="100" w:afterAutospacing="1" w:line="240" w:lineRule="auto"/>
      <w:jc w:val="center"/>
    </w:pPr>
    <w:rPr>
      <w:rFonts w:ascii="宋体" w:hAnsi="宋体" w:eastAsia="宋体" w:cs="宋体"/>
      <w:b/>
      <w:bCs/>
      <w:sz w:val="18"/>
      <w:szCs w:val="18"/>
    </w:rPr>
  </w:style>
  <w:style w:type="paragraph" w:customStyle="1" w:styleId="55">
    <w:name w:val="xl95"/>
    <w:basedOn w:val="1"/>
    <w:autoRedefine/>
    <w:qFormat/>
    <w:uiPriority w:val="0"/>
    <w:pPr>
      <w:pBdr>
        <w:top w:val="single" w:color="auto" w:sz="4" w:space="0"/>
        <w:bottom w:val="single" w:color="auto" w:sz="4" w:space="0"/>
        <w:right w:val="single" w:color="auto" w:sz="4" w:space="0"/>
      </w:pBdr>
      <w:shd w:val="clear" w:color="000000" w:fill="BDD7EE"/>
      <w:spacing w:before="100" w:beforeAutospacing="1" w:after="100" w:afterAutospacing="1" w:line="240" w:lineRule="auto"/>
      <w:jc w:val="center"/>
    </w:pPr>
    <w:rPr>
      <w:rFonts w:ascii="宋体" w:hAnsi="宋体" w:eastAsia="宋体" w:cs="宋体"/>
      <w:b/>
      <w:bCs/>
      <w:sz w:val="18"/>
      <w:szCs w:val="18"/>
    </w:rPr>
  </w:style>
  <w:style w:type="paragraph" w:customStyle="1" w:styleId="56">
    <w:name w:val="xl96"/>
    <w:basedOn w:val="1"/>
    <w:autoRedefine/>
    <w:qFormat/>
    <w:uiPriority w:val="0"/>
    <w:pPr>
      <w:pBdr>
        <w:top w:val="single" w:color="auto" w:sz="4" w:space="0"/>
        <w:left w:val="single" w:color="auto" w:sz="4" w:space="0"/>
        <w:bottom w:val="single" w:color="auto" w:sz="4" w:space="0"/>
      </w:pBdr>
      <w:spacing w:before="100" w:beforeAutospacing="1" w:after="100" w:afterAutospacing="1" w:line="240" w:lineRule="auto"/>
      <w:jc w:val="center"/>
    </w:pPr>
    <w:rPr>
      <w:rFonts w:ascii="宋体" w:hAnsi="宋体" w:eastAsia="宋体" w:cs="宋体"/>
      <w:b/>
      <w:bCs/>
      <w:sz w:val="18"/>
      <w:szCs w:val="18"/>
    </w:rPr>
  </w:style>
  <w:style w:type="paragraph" w:customStyle="1" w:styleId="57">
    <w:name w:val="xl97"/>
    <w:basedOn w:val="1"/>
    <w:autoRedefine/>
    <w:qFormat/>
    <w:uiPriority w:val="0"/>
    <w:pPr>
      <w:pBdr>
        <w:top w:val="single" w:color="auto" w:sz="4" w:space="0"/>
        <w:bottom w:val="single" w:color="auto" w:sz="4" w:space="0"/>
      </w:pBdr>
      <w:spacing w:before="100" w:beforeAutospacing="1" w:after="100" w:afterAutospacing="1" w:line="240" w:lineRule="auto"/>
      <w:jc w:val="center"/>
    </w:pPr>
    <w:rPr>
      <w:rFonts w:ascii="宋体" w:hAnsi="宋体" w:eastAsia="宋体" w:cs="宋体"/>
      <w:b/>
      <w:bCs/>
      <w:sz w:val="18"/>
      <w:szCs w:val="18"/>
    </w:rPr>
  </w:style>
  <w:style w:type="paragraph" w:customStyle="1" w:styleId="58">
    <w:name w:val="xl98"/>
    <w:basedOn w:val="1"/>
    <w:autoRedefine/>
    <w:qFormat/>
    <w:uiPriority w:val="0"/>
    <w:pPr>
      <w:pBdr>
        <w:top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b/>
      <w:bCs/>
      <w:sz w:val="18"/>
      <w:szCs w:val="18"/>
    </w:rPr>
  </w:style>
  <w:style w:type="paragraph" w:customStyle="1" w:styleId="59">
    <w:name w:val="xl99"/>
    <w:basedOn w:val="1"/>
    <w:autoRedefine/>
    <w:qFormat/>
    <w:uiPriority w:val="0"/>
    <w:pPr>
      <w:pBdr>
        <w:top w:val="single" w:color="auto" w:sz="4" w:space="0"/>
        <w:left w:val="single" w:color="auto" w:sz="4" w:space="0"/>
        <w:right w:val="single" w:color="auto" w:sz="4" w:space="0"/>
      </w:pBdr>
      <w:spacing w:before="100" w:beforeAutospacing="1" w:after="100" w:afterAutospacing="1" w:line="240" w:lineRule="auto"/>
      <w:jc w:val="center"/>
    </w:pPr>
    <w:rPr>
      <w:rFonts w:ascii="宋体" w:hAnsi="宋体" w:eastAsia="宋体" w:cs="宋体"/>
      <w:b/>
      <w:bCs/>
      <w:sz w:val="18"/>
      <w:szCs w:val="18"/>
    </w:rPr>
  </w:style>
  <w:style w:type="paragraph" w:customStyle="1" w:styleId="60">
    <w:name w:val="xl100"/>
    <w:basedOn w:val="1"/>
    <w:autoRedefine/>
    <w:qFormat/>
    <w:uiPriority w:val="0"/>
    <w:pPr>
      <w:pBdr>
        <w:left w:val="single" w:color="auto" w:sz="4" w:space="0"/>
        <w:right w:val="single" w:color="auto" w:sz="4" w:space="0"/>
      </w:pBdr>
      <w:spacing w:before="100" w:beforeAutospacing="1" w:after="100" w:afterAutospacing="1" w:line="240" w:lineRule="auto"/>
      <w:jc w:val="center"/>
    </w:pPr>
    <w:rPr>
      <w:rFonts w:ascii="宋体" w:hAnsi="宋体" w:eastAsia="宋体" w:cs="宋体"/>
      <w:b/>
      <w:bCs/>
      <w:sz w:val="18"/>
      <w:szCs w:val="18"/>
    </w:rPr>
  </w:style>
  <w:style w:type="paragraph" w:customStyle="1" w:styleId="61">
    <w:name w:val="xl101"/>
    <w:basedOn w:val="1"/>
    <w:autoRedefine/>
    <w:qFormat/>
    <w:uiPriority w:val="0"/>
    <w:pPr>
      <w:pBdr>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eastAsia="宋体" w:cs="宋体"/>
      <w:b/>
      <w:bCs/>
      <w:sz w:val="18"/>
      <w:szCs w:val="18"/>
    </w:rPr>
  </w:style>
  <w:style w:type="paragraph" w:customStyle="1" w:styleId="62">
    <w:name w:val="样式1"/>
    <w:basedOn w:val="1"/>
    <w:autoRedefine/>
    <w:qFormat/>
    <w:uiPriority w:val="99"/>
    <w:rPr>
      <w:rFonts w:eastAsia="宋体"/>
      <w:sz w:val="21"/>
      <w:szCs w:val="24"/>
    </w:rPr>
  </w:style>
  <w:style w:type="paragraph" w:customStyle="1" w:styleId="63">
    <w:name w:val="WPSOffice手动目录 1"/>
    <w:autoRedefine/>
    <w:qFormat/>
    <w:uiPriority w:val="0"/>
    <w:rPr>
      <w:rFonts w:ascii="Times New Roman" w:hAnsi="Times New Roman" w:eastAsia="宋体" w:cs="Times New Roman"/>
      <w:lang w:val="en-US" w:eastAsia="zh-CN" w:bidi="ar-SA"/>
    </w:rPr>
  </w:style>
  <w:style w:type="paragraph" w:customStyle="1" w:styleId="64">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65">
    <w:name w:val="普通(网站) Char"/>
    <w:basedOn w:val="1"/>
    <w:autoRedefine/>
    <w:qFormat/>
    <w:uiPriority w:val="0"/>
    <w:rPr>
      <w:rFonts w:ascii="微软雅黑" w:hAnsi="微软雅黑" w:eastAsia="微软雅黑"/>
      <w:sz w:val="18"/>
      <w:szCs w:val="18"/>
    </w:rPr>
  </w:style>
  <w:style w:type="character" w:customStyle="1" w:styleId="66">
    <w:name w:val="font21"/>
    <w:basedOn w:val="15"/>
    <w:autoRedefine/>
    <w:qFormat/>
    <w:uiPriority w:val="0"/>
    <w:rPr>
      <w:rFonts w:hint="eastAsia" w:ascii="微软雅黑" w:hAnsi="微软雅黑" w:eastAsia="微软雅黑" w:cs="微软雅黑"/>
      <w:color w:val="000000"/>
      <w:sz w:val="20"/>
      <w:szCs w:val="20"/>
      <w:u w:val="none"/>
    </w:rPr>
  </w:style>
  <w:style w:type="character" w:customStyle="1" w:styleId="67">
    <w:name w:val="font41"/>
    <w:basedOn w:val="15"/>
    <w:autoRedefine/>
    <w:qFormat/>
    <w:uiPriority w:val="0"/>
    <w:rPr>
      <w:rFonts w:hint="eastAsia" w:ascii="宋体" w:hAnsi="宋体" w:eastAsia="宋体" w:cs="宋体"/>
      <w:b/>
      <w:bCs/>
      <w:color w:val="000000"/>
      <w:sz w:val="32"/>
      <w:szCs w:val="32"/>
      <w:u w:val="none"/>
    </w:rPr>
  </w:style>
  <w:style w:type="character" w:customStyle="1" w:styleId="68">
    <w:name w:val="font111"/>
    <w:basedOn w:val="15"/>
    <w:autoRedefine/>
    <w:qFormat/>
    <w:uiPriority w:val="0"/>
    <w:rPr>
      <w:rFonts w:hint="eastAsia" w:ascii="宋体" w:hAnsi="宋体" w:eastAsia="宋体" w:cs="宋体"/>
      <w:b/>
      <w:bCs/>
      <w:color w:val="000000"/>
      <w:sz w:val="32"/>
      <w:szCs w:val="32"/>
      <w:u w:val="none"/>
    </w:rPr>
  </w:style>
  <w:style w:type="character" w:customStyle="1" w:styleId="69">
    <w:name w:val="font31"/>
    <w:basedOn w:val="15"/>
    <w:autoRedefine/>
    <w:qFormat/>
    <w:uiPriority w:val="0"/>
    <w:rPr>
      <w:rFonts w:hint="eastAsia" w:ascii="宋体" w:hAnsi="宋体" w:eastAsia="宋体" w:cs="宋体"/>
      <w:b/>
      <w:bCs/>
      <w:color w:val="000000"/>
      <w:sz w:val="22"/>
      <w:szCs w:val="22"/>
      <w:u w:val="none"/>
    </w:rPr>
  </w:style>
  <w:style w:type="character" w:customStyle="1" w:styleId="70">
    <w:name w:val="font51"/>
    <w:basedOn w:val="15"/>
    <w:qFormat/>
    <w:uiPriority w:val="0"/>
    <w:rPr>
      <w:rFonts w:hint="eastAsia" w:ascii="宋体" w:hAnsi="宋体" w:eastAsia="宋体" w:cs="宋体"/>
      <w:b/>
      <w:bCs/>
      <w:color w:val="000000"/>
      <w:sz w:val="18"/>
      <w:szCs w:val="18"/>
      <w:u w:val="none"/>
    </w:rPr>
  </w:style>
  <w:style w:type="character" w:customStyle="1" w:styleId="71">
    <w:name w:val="font61"/>
    <w:basedOn w:val="15"/>
    <w:qFormat/>
    <w:uiPriority w:val="0"/>
    <w:rPr>
      <w:rFonts w:hint="eastAsia" w:ascii="宋体" w:hAnsi="宋体" w:eastAsia="宋体" w:cs="宋体"/>
      <w:color w:val="000000"/>
      <w:sz w:val="18"/>
      <w:szCs w:val="18"/>
      <w:u w:val="none"/>
    </w:rPr>
  </w:style>
  <w:style w:type="character" w:customStyle="1" w:styleId="72">
    <w:name w:val="font01"/>
    <w:basedOn w:val="15"/>
    <w:qFormat/>
    <w:uiPriority w:val="0"/>
    <w:rPr>
      <w:rFonts w:hint="eastAsia" w:ascii="等线" w:hAnsi="等线" w:eastAsia="等线" w:cs="等线"/>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F59CD-2D9C-4D70-B852-6F2F8D4DE0DE}">
  <ds:schemaRefs/>
</ds:datastoreItem>
</file>

<file path=docProps/app.xml><?xml version="1.0" encoding="utf-8"?>
<Properties xmlns="http://schemas.openxmlformats.org/officeDocument/2006/extended-properties" xmlns:vt="http://schemas.openxmlformats.org/officeDocument/2006/docPropsVTypes">
  <Template>Normal</Template>
  <Pages>45</Pages>
  <Words>5784</Words>
  <Characters>5865</Characters>
  <Lines>2358</Lines>
  <Paragraphs>1751</Paragraphs>
  <TotalTime>7</TotalTime>
  <ScaleCrop>false</ScaleCrop>
  <LinksUpToDate>false</LinksUpToDate>
  <CharactersWithSpaces>5950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2022-05-08T06:04:00Z</dcterms:created>
  <dc:creator>Administrator</dc:creator>
  <cp:lastModifiedBy>蒋莉</cp:lastModifiedBy>
  <cp:lastPrinted>2024-06-14T12:34:00Z</cp:lastPrinted>
  <dcterms:modified xsi:type="dcterms:W3CDTF">2025-06-05T03:38:10Z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030D74F72EC84596BCA6AAECB8F9963F</vt:lpwstr>
  </property>
  <property fmtid="{D5CDD505-2E9C-101B-9397-08002B2CF9AE}" pid="4" name="KSOTemplateDocerSaveRecord">
    <vt:lpwstr>eyJoZGlkIjoiNWVlNjM4MTQ5MTI1OTY5NWRkMGViZmMyODQyZjNhYzIiLCJ1c2VySWQiOiIxNDYyMDc4MzE3In0=</vt:lpwstr>
  </property>
</Properties>
</file>